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AB" w:rsidRPr="00A45515" w:rsidRDefault="00A672AB" w:rsidP="007272A8">
      <w:pPr>
        <w:spacing w:after="100"/>
        <w:jc w:val="center"/>
        <w:rPr>
          <w:rFonts w:ascii="DecimaWE Rg" w:hAnsi="DecimaWE Rg"/>
          <w:b/>
          <w:sz w:val="28"/>
          <w:szCs w:val="24"/>
        </w:rPr>
      </w:pPr>
      <w:bookmarkStart w:id="0" w:name="_GoBack"/>
      <w:r w:rsidRPr="00A45515">
        <w:rPr>
          <w:rFonts w:ascii="DecimaWE Rg" w:hAnsi="DecimaWE Rg"/>
          <w:b/>
          <w:sz w:val="28"/>
          <w:szCs w:val="24"/>
        </w:rPr>
        <w:t>Inquadramento sul fenomeno del gioco d’azzardo in Friuli Venezia Giulia</w:t>
      </w:r>
    </w:p>
    <w:bookmarkEnd w:id="0"/>
    <w:p w:rsidR="00672243" w:rsidRPr="00E837FB" w:rsidRDefault="007867F2" w:rsidP="00EE3799">
      <w:pPr>
        <w:spacing w:after="0"/>
        <w:jc w:val="both"/>
        <w:rPr>
          <w:rFonts w:ascii="DecimaWE Rg" w:hAnsi="DecimaWE Rg"/>
        </w:rPr>
      </w:pPr>
      <w:r>
        <w:rPr>
          <w:rFonts w:ascii="DecimaWE Rg" w:hAnsi="DecimaWE Rg"/>
        </w:rPr>
        <w:t xml:space="preserve">Negli ultimi anni si sono verificati </w:t>
      </w:r>
      <w:r w:rsidR="00EE3799">
        <w:rPr>
          <w:rFonts w:ascii="DecimaWE Rg" w:hAnsi="DecimaWE Rg"/>
        </w:rPr>
        <w:t xml:space="preserve">enormi </w:t>
      </w:r>
      <w:r w:rsidR="00EE3799" w:rsidRPr="00B74D0D">
        <w:rPr>
          <w:rFonts w:ascii="DecimaWE Rg" w:hAnsi="DecimaWE Rg"/>
        </w:rPr>
        <w:t>mutamenti socio-demografici, politici ed economici</w:t>
      </w:r>
      <w:r w:rsidR="00EE3799">
        <w:rPr>
          <w:rFonts w:ascii="DecimaWE Rg" w:hAnsi="DecimaWE Rg"/>
        </w:rPr>
        <w:t xml:space="preserve"> </w:t>
      </w:r>
      <w:r>
        <w:rPr>
          <w:rFonts w:ascii="DecimaWE Rg" w:hAnsi="DecimaWE Rg"/>
        </w:rPr>
        <w:t>che</w:t>
      </w:r>
      <w:r w:rsidR="00EE3799" w:rsidRPr="00B74D0D">
        <w:rPr>
          <w:rFonts w:ascii="DecimaWE Rg" w:hAnsi="DecimaWE Rg"/>
        </w:rPr>
        <w:t xml:space="preserve"> </w:t>
      </w:r>
      <w:r w:rsidR="00EE3799">
        <w:rPr>
          <w:rFonts w:ascii="DecimaWE Rg" w:hAnsi="DecimaWE Rg"/>
        </w:rPr>
        <w:t xml:space="preserve">hanno </w:t>
      </w:r>
      <w:r w:rsidR="00EE3799" w:rsidRPr="00B74D0D">
        <w:rPr>
          <w:rFonts w:ascii="DecimaWE Rg" w:hAnsi="DecimaWE Rg"/>
        </w:rPr>
        <w:t>porta</w:t>
      </w:r>
      <w:r w:rsidR="00EE3799">
        <w:rPr>
          <w:rFonts w:ascii="DecimaWE Rg" w:hAnsi="DecimaWE Rg"/>
        </w:rPr>
        <w:t>t</w:t>
      </w:r>
      <w:r w:rsidR="00EE3799" w:rsidRPr="00B74D0D">
        <w:rPr>
          <w:rFonts w:ascii="DecimaWE Rg" w:hAnsi="DecimaWE Rg"/>
        </w:rPr>
        <w:t xml:space="preserve">o alla ribalta problematiche </w:t>
      </w:r>
      <w:r w:rsidR="00EE3799">
        <w:rPr>
          <w:rFonts w:ascii="DecimaWE Rg" w:hAnsi="DecimaWE Rg"/>
        </w:rPr>
        <w:t xml:space="preserve">nuove, </w:t>
      </w:r>
      <w:r w:rsidR="00EE3799" w:rsidRPr="00B74D0D">
        <w:rPr>
          <w:rFonts w:ascii="DecimaWE Rg" w:hAnsi="DecimaWE Rg"/>
        </w:rPr>
        <w:t>che costituiscono una sfida continua per le politiche in materia di sa</w:t>
      </w:r>
      <w:r w:rsidR="00EE3799" w:rsidRPr="00546688">
        <w:rPr>
          <w:rFonts w:ascii="DecimaWE Rg" w:hAnsi="DecimaWE Rg"/>
        </w:rPr>
        <w:t>nità pubblica. Tra le sfide maggiori</w:t>
      </w:r>
      <w:r w:rsidR="00EE3799">
        <w:rPr>
          <w:rFonts w:ascii="DecimaWE Rg" w:hAnsi="DecimaWE Rg"/>
        </w:rPr>
        <w:t xml:space="preserve"> che riguardano il panorama delle dipendenze</w:t>
      </w:r>
      <w:r w:rsidR="00EE3799" w:rsidRPr="00546688">
        <w:rPr>
          <w:rFonts w:ascii="DecimaWE Rg" w:hAnsi="DecimaWE Rg"/>
        </w:rPr>
        <w:t xml:space="preserve">, spicca l’emersione del fenomeno del </w:t>
      </w:r>
      <w:r w:rsidR="00EE3799">
        <w:rPr>
          <w:rFonts w:ascii="DecimaWE Rg" w:hAnsi="DecimaWE Rg"/>
        </w:rPr>
        <w:t xml:space="preserve">disturbo da </w:t>
      </w:r>
      <w:r w:rsidR="00E702F2">
        <w:rPr>
          <w:rFonts w:ascii="DecimaWE Rg" w:hAnsi="DecimaWE Rg"/>
        </w:rPr>
        <w:t xml:space="preserve">gioco </w:t>
      </w:r>
      <w:r w:rsidR="00EE3799">
        <w:rPr>
          <w:rFonts w:ascii="DecimaWE Rg" w:hAnsi="DecimaWE Rg"/>
        </w:rPr>
        <w:t>d’azzardo</w:t>
      </w:r>
      <w:r w:rsidR="00672243">
        <w:rPr>
          <w:rFonts w:ascii="DecimaWE Rg" w:hAnsi="DecimaWE Rg"/>
        </w:rPr>
        <w:t xml:space="preserve"> (di seguito DGA)</w:t>
      </w:r>
      <w:r w:rsidR="00EE3799" w:rsidRPr="00546688">
        <w:rPr>
          <w:rFonts w:ascii="DecimaWE Rg" w:hAnsi="DecimaWE Rg"/>
        </w:rPr>
        <w:t>, c</w:t>
      </w:r>
      <w:r w:rsidR="00EE3799">
        <w:rPr>
          <w:rFonts w:ascii="DecimaWE Rg" w:hAnsi="DecimaWE Rg"/>
        </w:rPr>
        <w:t xml:space="preserve">he ha registrato </w:t>
      </w:r>
      <w:r w:rsidR="00EE3799" w:rsidRPr="00546688">
        <w:rPr>
          <w:rFonts w:ascii="DecimaWE Rg" w:hAnsi="DecimaWE Rg"/>
        </w:rPr>
        <w:t>una crescita esponenziale</w:t>
      </w:r>
      <w:r w:rsidR="00EE3799">
        <w:rPr>
          <w:rFonts w:ascii="DecimaWE Rg" w:hAnsi="DecimaWE Rg"/>
        </w:rPr>
        <w:t>, tanto a livello nazionale che regionale,</w:t>
      </w:r>
      <w:r w:rsidR="00EE3799" w:rsidRPr="00546688">
        <w:rPr>
          <w:rFonts w:ascii="DecimaWE Rg" w:hAnsi="DecimaWE Rg"/>
        </w:rPr>
        <w:t xml:space="preserve"> dovuta alla concomitanza di </w:t>
      </w:r>
      <w:r w:rsidR="00EE3799" w:rsidRPr="00B13BBC">
        <w:rPr>
          <w:rFonts w:ascii="DecimaWE Rg" w:hAnsi="DecimaWE Rg"/>
        </w:rPr>
        <w:t xml:space="preserve">diversi fattori, quali la crisi economica e l’enorme ampliamento dell’offerta d’azzardo. </w:t>
      </w:r>
      <w:r w:rsidR="00EE3799">
        <w:rPr>
          <w:rFonts w:ascii="DecimaWE Rg" w:hAnsi="DecimaWE Rg"/>
        </w:rPr>
        <w:t>N</w:t>
      </w:r>
      <w:r w:rsidR="00EE3799" w:rsidRPr="003E0570">
        <w:rPr>
          <w:rFonts w:ascii="DecimaWE Rg" w:hAnsi="DecimaWE Rg"/>
        </w:rPr>
        <w:t xml:space="preserve">on esistono dati epidemiologici precisi e studi validati, </w:t>
      </w:r>
      <w:r w:rsidR="00EE3799">
        <w:rPr>
          <w:rFonts w:ascii="DecimaWE Rg" w:hAnsi="DecimaWE Rg"/>
        </w:rPr>
        <w:t xml:space="preserve">la </w:t>
      </w:r>
      <w:r w:rsidR="00EE3799" w:rsidRPr="003E0570">
        <w:rPr>
          <w:rFonts w:ascii="DecimaWE Rg" w:hAnsi="DecimaWE Rg"/>
        </w:rPr>
        <w:t>percentuale dei giocatori “problematici” varierebbe dall’1,3% al 3,8% della popolazione generale, mentre quella dei giocatori “patologici” dallo 0,5% al 2,2%</w:t>
      </w:r>
      <w:r w:rsidR="00C56B1F">
        <w:rPr>
          <w:rFonts w:ascii="DecimaWE Rg" w:hAnsi="DecimaWE Rg"/>
        </w:rPr>
        <w:t>;</w:t>
      </w:r>
      <w:r w:rsidR="00006AA9">
        <w:rPr>
          <w:rFonts w:ascii="DecimaWE Rg" w:hAnsi="DecimaWE Rg"/>
        </w:rPr>
        <w:t xml:space="preserve"> n</w:t>
      </w:r>
      <w:r w:rsidR="00672243">
        <w:rPr>
          <w:rFonts w:ascii="DecimaWE Rg" w:hAnsi="DecimaWE Rg"/>
        </w:rPr>
        <w:t xml:space="preserve">onostante </w:t>
      </w:r>
      <w:r w:rsidR="00006AA9">
        <w:rPr>
          <w:rFonts w:ascii="DecimaWE Rg" w:hAnsi="DecimaWE Rg"/>
        </w:rPr>
        <w:t>ciò</w:t>
      </w:r>
      <w:r w:rsidR="00672243">
        <w:rPr>
          <w:rFonts w:ascii="DecimaWE Rg" w:hAnsi="DecimaWE Rg"/>
        </w:rPr>
        <w:t xml:space="preserve">, </w:t>
      </w:r>
      <w:r w:rsidR="001E398E">
        <w:rPr>
          <w:rFonts w:ascii="DecimaWE Rg" w:hAnsi="DecimaWE Rg"/>
        </w:rPr>
        <w:t>sono ben visibili le conseguenze drammatiche di cui è responsabile tale fenomeno, non solo a livello personale, ma a</w:t>
      </w:r>
      <w:r w:rsidR="001E398E" w:rsidRPr="00E837FB">
        <w:rPr>
          <w:rFonts w:ascii="DecimaWE Rg" w:hAnsi="DecimaWE Rg"/>
        </w:rPr>
        <w:t xml:space="preserve">nche a livello sociale, politico ed economico. </w:t>
      </w:r>
    </w:p>
    <w:p w:rsidR="00793B9D" w:rsidRDefault="00107D27" w:rsidP="00793B9D">
      <w:pPr>
        <w:spacing w:after="0"/>
        <w:jc w:val="both"/>
        <w:rPr>
          <w:rFonts w:ascii="DecimaWE Rg" w:hAnsi="DecimaWE Rg"/>
        </w:rPr>
      </w:pPr>
      <w:r w:rsidRPr="00E837FB">
        <w:rPr>
          <w:rFonts w:ascii="DecimaWE Rg" w:hAnsi="DecimaWE Rg"/>
        </w:rPr>
        <w:t>Per tali motivi, ormai da tempo l’espansione del gioco d’azzardo viene considerata un</w:t>
      </w:r>
      <w:r w:rsidR="004A6003">
        <w:rPr>
          <w:rFonts w:ascii="DecimaWE Rg" w:hAnsi="DecimaWE Rg"/>
        </w:rPr>
        <w:t>’</w:t>
      </w:r>
      <w:r w:rsidRPr="00E837FB">
        <w:rPr>
          <w:rFonts w:ascii="DecimaWE Rg" w:hAnsi="DecimaWE Rg"/>
        </w:rPr>
        <w:t xml:space="preserve">importante questione di salute pubblica, proprio per gli effetti </w:t>
      </w:r>
      <w:r w:rsidR="00D94E88" w:rsidRPr="00E837FB">
        <w:rPr>
          <w:rFonts w:ascii="DecimaWE Rg" w:hAnsi="DecimaWE Rg"/>
        </w:rPr>
        <w:t>negativi</w:t>
      </w:r>
      <w:r w:rsidRPr="00E837FB">
        <w:rPr>
          <w:rFonts w:ascii="DecimaWE Rg" w:hAnsi="DecimaWE Rg"/>
        </w:rPr>
        <w:t xml:space="preserve"> che comportano danni per l’intera collettività, </w:t>
      </w:r>
      <w:r w:rsidR="006C3E95" w:rsidRPr="00E837FB">
        <w:rPr>
          <w:rFonts w:ascii="DecimaWE Rg" w:hAnsi="DecimaWE Rg"/>
        </w:rPr>
        <w:t>esprimibili</w:t>
      </w:r>
      <w:r w:rsidRPr="00E837FB">
        <w:rPr>
          <w:rFonts w:ascii="DecimaWE Rg" w:hAnsi="DecimaWE Rg"/>
        </w:rPr>
        <w:t xml:space="preserve"> in costi sociali</w:t>
      </w:r>
      <w:r w:rsidRPr="00E837FB">
        <w:rPr>
          <w:rStyle w:val="Rimandonotaapidipagina"/>
          <w:rFonts w:ascii="DecimaWE Rg" w:hAnsi="DecimaWE Rg"/>
        </w:rPr>
        <w:footnoteReference w:id="1"/>
      </w:r>
      <w:r w:rsidRPr="00E837FB">
        <w:rPr>
          <w:rFonts w:ascii="DecimaWE Rg" w:hAnsi="DecimaWE Rg"/>
        </w:rPr>
        <w:t>,</w:t>
      </w:r>
      <w:r w:rsidRPr="00E837FB">
        <w:t xml:space="preserve"> </w:t>
      </w:r>
      <w:r w:rsidRPr="00E837FB">
        <w:rPr>
          <w:rFonts w:ascii="DecimaWE Rg" w:hAnsi="DecimaWE Rg"/>
        </w:rPr>
        <w:t xml:space="preserve">riferiti a una perdita complessiva di benessere sociale attribuibile a determinate scelte, azioni e comportamenti. Un interessante studio realizzato su iniziativa di </w:t>
      </w:r>
      <w:proofErr w:type="spellStart"/>
      <w:r w:rsidRPr="00E837FB">
        <w:rPr>
          <w:rFonts w:ascii="DecimaWE Rg" w:hAnsi="DecimaWE Rg"/>
        </w:rPr>
        <w:t>FederSerd</w:t>
      </w:r>
      <w:proofErr w:type="spellEnd"/>
      <w:r w:rsidRPr="00E837FB">
        <w:rPr>
          <w:rStyle w:val="Rimandonotaapidipagina"/>
          <w:rFonts w:ascii="DecimaWE Rg" w:hAnsi="DecimaWE Rg"/>
        </w:rPr>
        <w:footnoteReference w:id="2"/>
      </w:r>
      <w:r w:rsidRPr="00E837FB">
        <w:rPr>
          <w:rFonts w:ascii="DecimaWE Rg" w:hAnsi="DecimaWE Rg"/>
        </w:rPr>
        <w:t xml:space="preserve"> e Cerco</w:t>
      </w:r>
      <w:r w:rsidRPr="00E837FB">
        <w:rPr>
          <w:rStyle w:val="Rimandonotaapidipagina"/>
          <w:rFonts w:ascii="DecimaWE Rg" w:hAnsi="DecimaWE Rg"/>
        </w:rPr>
        <w:footnoteReference w:id="3"/>
      </w:r>
      <w:r w:rsidR="00411A45" w:rsidRPr="00E837FB">
        <w:rPr>
          <w:rFonts w:ascii="DecimaWE Rg" w:hAnsi="DecimaWE Rg"/>
        </w:rPr>
        <w:t xml:space="preserve"> (Lucchini F., Comi S. </w:t>
      </w:r>
      <w:r w:rsidR="009A6884" w:rsidRPr="00E837FB">
        <w:rPr>
          <w:rFonts w:ascii="DecimaWE Rg" w:hAnsi="DecimaWE Rg"/>
        </w:rPr>
        <w:t>2018)</w:t>
      </w:r>
      <w:r w:rsidRPr="00E837FB">
        <w:rPr>
          <w:rFonts w:ascii="DecimaWE Rg" w:hAnsi="DecimaWE Rg"/>
        </w:rPr>
        <w:t xml:space="preserve">, ha stimato che </w:t>
      </w:r>
      <w:r w:rsidRPr="00E837FB">
        <w:rPr>
          <w:rFonts w:ascii="DecimaWE Rg" w:hAnsi="DecimaWE Rg"/>
          <w:b/>
        </w:rPr>
        <w:t>i costi sociali</w:t>
      </w:r>
      <w:r w:rsidRPr="00E837FB">
        <w:rPr>
          <w:rFonts w:ascii="DecimaWE Rg" w:hAnsi="DecimaWE Rg"/>
        </w:rPr>
        <w:t xml:space="preserve"> del gioco d’azzardo problematico in Italia co</w:t>
      </w:r>
      <w:r>
        <w:rPr>
          <w:rFonts w:ascii="DecimaWE Rg" w:hAnsi="DecimaWE Rg"/>
        </w:rPr>
        <w:t xml:space="preserve">n riferimento all’anno 2014, </w:t>
      </w:r>
      <w:r w:rsidRPr="00750DFE">
        <w:rPr>
          <w:rFonts w:ascii="DecimaWE Rg" w:hAnsi="DecimaWE Rg"/>
          <w:b/>
        </w:rPr>
        <w:t>risultano pari a 2.720.218.821 euro</w:t>
      </w:r>
      <w:r w:rsidRPr="00FC2391">
        <w:rPr>
          <w:rFonts w:ascii="DecimaWE Rg" w:hAnsi="DecimaWE Rg"/>
        </w:rPr>
        <w:t xml:space="preserve">, </w:t>
      </w:r>
      <w:r w:rsidRPr="00750DFE">
        <w:rPr>
          <w:rFonts w:ascii="DecimaWE Rg" w:hAnsi="DecimaWE Rg"/>
          <w:b/>
        </w:rPr>
        <w:t>con un costo per giocatore di 2.211 euro</w:t>
      </w:r>
      <w:r w:rsidRPr="00FC2391">
        <w:rPr>
          <w:rFonts w:ascii="DecimaWE Rg" w:hAnsi="DecimaWE Rg"/>
        </w:rPr>
        <w:t>.</w:t>
      </w:r>
      <w:r w:rsidR="00A16184">
        <w:rPr>
          <w:rFonts w:ascii="DecimaWE Rg" w:hAnsi="DecimaWE Rg"/>
        </w:rPr>
        <w:t xml:space="preserve"> A tale stima, riferita ai costi di natura pubblica, si aggiungano gli indicatori di carattere non economico, difficili da misurare, quali gli effetti di tipo culturale, etico, sociale destinati ad incidere in maniera molto forte sull’inte</w:t>
      </w:r>
      <w:r w:rsidR="00793B9D">
        <w:rPr>
          <w:rFonts w:ascii="DecimaWE Rg" w:hAnsi="DecimaWE Rg"/>
        </w:rPr>
        <w:t>ro benessere della popolazione.</w:t>
      </w:r>
    </w:p>
    <w:p w:rsidR="00EE3799" w:rsidRPr="001C0B7B" w:rsidRDefault="000B64B4" w:rsidP="001C0B7B">
      <w:pPr>
        <w:pStyle w:val="Default"/>
        <w:spacing w:line="276" w:lineRule="auto"/>
        <w:jc w:val="both"/>
        <w:rPr>
          <w:rFonts w:ascii="DecimaWE Rg" w:hAnsi="DecimaWE Rg" w:cstheme="minorBidi"/>
          <w:color w:val="auto"/>
          <w:sz w:val="22"/>
          <w:szCs w:val="22"/>
        </w:rPr>
      </w:pPr>
      <w:r w:rsidRPr="001C0B7B">
        <w:rPr>
          <w:rFonts w:ascii="DecimaWE Rg" w:hAnsi="DecimaWE Rg" w:cstheme="minorBidi"/>
          <w:color w:val="auto"/>
          <w:sz w:val="22"/>
          <w:szCs w:val="22"/>
        </w:rPr>
        <w:t xml:space="preserve">Per </w:t>
      </w:r>
      <w:r w:rsidR="00793B9D" w:rsidRPr="001C0B7B">
        <w:rPr>
          <w:rFonts w:ascii="DecimaWE Rg" w:hAnsi="DecimaWE Rg" w:cstheme="minorBidi"/>
          <w:color w:val="auto"/>
          <w:sz w:val="22"/>
          <w:szCs w:val="22"/>
        </w:rPr>
        <w:t xml:space="preserve">meglio comprendere </w:t>
      </w:r>
      <w:r w:rsidRPr="001C0B7B">
        <w:rPr>
          <w:rFonts w:ascii="DecimaWE Rg" w:hAnsi="DecimaWE Rg" w:cstheme="minorBidi"/>
          <w:color w:val="auto"/>
          <w:sz w:val="22"/>
          <w:szCs w:val="22"/>
        </w:rPr>
        <w:t>la rilevanza del fenomeno, disponiamo di alcuni dati economici, tra cui u</w:t>
      </w:r>
      <w:r w:rsidR="00EE3799" w:rsidRPr="001C0B7B">
        <w:rPr>
          <w:rFonts w:ascii="DecimaWE Rg" w:hAnsi="DecimaWE Rg" w:cstheme="minorBidi"/>
          <w:color w:val="auto"/>
          <w:sz w:val="22"/>
          <w:szCs w:val="22"/>
        </w:rPr>
        <w:t xml:space="preserve">n dato </w:t>
      </w:r>
      <w:r w:rsidRPr="001C0B7B">
        <w:rPr>
          <w:rFonts w:ascii="DecimaWE Rg" w:hAnsi="DecimaWE Rg" w:cstheme="minorBidi"/>
          <w:color w:val="auto"/>
          <w:sz w:val="22"/>
          <w:szCs w:val="22"/>
        </w:rPr>
        <w:t>indubbiamente significativo è relativo a</w:t>
      </w:r>
      <w:r w:rsidR="00EE3799" w:rsidRPr="001C0B7B">
        <w:rPr>
          <w:rFonts w:ascii="DecimaWE Rg" w:hAnsi="DecimaWE Rg" w:cstheme="minorBidi"/>
          <w:color w:val="auto"/>
          <w:sz w:val="22"/>
          <w:szCs w:val="22"/>
        </w:rPr>
        <w:t xml:space="preserve">l </w:t>
      </w:r>
      <w:r w:rsidR="00EE3799" w:rsidRPr="004E6084">
        <w:rPr>
          <w:rFonts w:ascii="DecimaWE Rg" w:hAnsi="DecimaWE Rg" w:cstheme="minorBidi"/>
          <w:b/>
          <w:color w:val="auto"/>
          <w:sz w:val="22"/>
          <w:szCs w:val="22"/>
        </w:rPr>
        <w:t>volume di gioco economico</w:t>
      </w:r>
      <w:r w:rsidR="00EE3799" w:rsidRPr="001C0B7B">
        <w:rPr>
          <w:rFonts w:ascii="DecimaWE Rg" w:hAnsi="DecimaWE Rg" w:cstheme="minorBidi"/>
          <w:color w:val="auto"/>
          <w:sz w:val="22"/>
          <w:szCs w:val="22"/>
        </w:rPr>
        <w:t xml:space="preserve">, che nel 2017 nel Friuli Venezia Giulia era pari a </w:t>
      </w:r>
      <w:r w:rsidR="001C0B7B" w:rsidRPr="004E6084">
        <w:rPr>
          <w:rFonts w:ascii="DecimaWE Rg" w:hAnsi="DecimaWE Rg" w:cstheme="minorBidi"/>
          <w:b/>
          <w:color w:val="auto"/>
          <w:sz w:val="22"/>
          <w:szCs w:val="22"/>
        </w:rPr>
        <w:t>1.376</w:t>
      </w:r>
      <w:r w:rsidR="004E6084">
        <w:rPr>
          <w:rFonts w:ascii="DecimaWE Rg" w:hAnsi="DecimaWE Rg" w:cstheme="minorBidi"/>
          <w:b/>
          <w:color w:val="auto"/>
          <w:sz w:val="22"/>
          <w:szCs w:val="22"/>
        </w:rPr>
        <w:t xml:space="preserve"> milioni di euro</w:t>
      </w:r>
      <w:r w:rsidR="001C0B7B" w:rsidRPr="001C0B7B">
        <w:rPr>
          <w:rFonts w:ascii="DecimaWE Rg" w:hAnsi="DecimaWE Rg" w:cstheme="minorBidi"/>
          <w:color w:val="auto"/>
          <w:sz w:val="22"/>
          <w:szCs w:val="22"/>
        </w:rPr>
        <w:t xml:space="preserve">, che corrisponde a </w:t>
      </w:r>
      <w:r w:rsidR="00EE3799" w:rsidRPr="001B716E">
        <w:rPr>
          <w:rFonts w:ascii="DecimaWE Rg" w:hAnsi="DecimaWE Rg" w:cstheme="minorBidi"/>
          <w:b/>
          <w:color w:val="auto"/>
          <w:sz w:val="22"/>
          <w:szCs w:val="22"/>
        </w:rPr>
        <w:t>1.301 euro pro capite</w:t>
      </w:r>
      <w:r w:rsidR="00EE3799" w:rsidRPr="001C0B7B">
        <w:rPr>
          <w:rFonts w:ascii="DecimaWE Rg" w:hAnsi="DecimaWE Rg" w:cstheme="minorBidi"/>
          <w:color w:val="auto"/>
          <w:sz w:val="22"/>
          <w:szCs w:val="22"/>
        </w:rPr>
        <w:t xml:space="preserve"> (calcolato sulla popolazione maggiorenne). </w:t>
      </w:r>
      <w:r w:rsidR="00755AA0" w:rsidRPr="001C0B7B">
        <w:rPr>
          <w:rFonts w:ascii="DecimaWE Rg" w:hAnsi="DecimaWE Rg" w:cstheme="minorBidi"/>
          <w:color w:val="auto"/>
          <w:sz w:val="22"/>
          <w:szCs w:val="22"/>
        </w:rPr>
        <w:t xml:space="preserve">Analogamente alla situazione nazionale, a trainare il mercato </w:t>
      </w:r>
      <w:r w:rsidR="001F0FF4" w:rsidRPr="001C0B7B">
        <w:rPr>
          <w:rFonts w:ascii="DecimaWE Rg" w:hAnsi="DecimaWE Rg" w:cstheme="minorBidi"/>
          <w:color w:val="auto"/>
          <w:sz w:val="22"/>
          <w:szCs w:val="22"/>
        </w:rPr>
        <w:t xml:space="preserve">in FVG </w:t>
      </w:r>
      <w:r w:rsidR="00755AA0" w:rsidRPr="001C0B7B">
        <w:rPr>
          <w:rFonts w:ascii="DecimaWE Rg" w:hAnsi="DecimaWE Rg" w:cstheme="minorBidi"/>
          <w:color w:val="auto"/>
          <w:sz w:val="22"/>
          <w:szCs w:val="22"/>
        </w:rPr>
        <w:t>sono gli appa</w:t>
      </w:r>
      <w:r w:rsidR="001F0FF4" w:rsidRPr="001C0B7B">
        <w:rPr>
          <w:rFonts w:ascii="DecimaWE Rg" w:hAnsi="DecimaWE Rg" w:cstheme="minorBidi"/>
          <w:color w:val="auto"/>
          <w:sz w:val="22"/>
          <w:szCs w:val="22"/>
        </w:rPr>
        <w:t>recchi (</w:t>
      </w:r>
      <w:proofErr w:type="spellStart"/>
      <w:r w:rsidR="001F0FF4" w:rsidRPr="001C0B7B">
        <w:rPr>
          <w:rFonts w:ascii="DecimaWE Rg" w:hAnsi="DecimaWE Rg" w:cstheme="minorBidi"/>
          <w:color w:val="auto"/>
          <w:sz w:val="22"/>
          <w:szCs w:val="22"/>
        </w:rPr>
        <w:t>newslot</w:t>
      </w:r>
      <w:proofErr w:type="spellEnd"/>
      <w:r w:rsidR="001F0FF4" w:rsidRPr="001C0B7B">
        <w:rPr>
          <w:rFonts w:ascii="DecimaWE Rg" w:hAnsi="DecimaWE Rg" w:cstheme="minorBidi"/>
          <w:color w:val="auto"/>
          <w:sz w:val="22"/>
          <w:szCs w:val="22"/>
        </w:rPr>
        <w:t xml:space="preserve">, VLT e comma 7), con una raccolta nel 2017 pari a 1.028 milioni di euro, seguiti dalle lotterie, che hanno registrato nello stesso anno una raccolta pari a 135 milioni di euro. </w:t>
      </w:r>
    </w:p>
    <w:p w:rsidR="00EE3799" w:rsidRDefault="00C85BE8" w:rsidP="005B6E3A">
      <w:pPr>
        <w:spacing w:after="80"/>
        <w:rPr>
          <w:rFonts w:ascii="DecimaWE Rg" w:hAnsi="DecimaWE Rg"/>
        </w:rPr>
      </w:pPr>
      <w:r>
        <w:rPr>
          <w:rFonts w:ascii="DecimaWE Rg" w:hAnsi="DecimaWE Rg"/>
        </w:rPr>
        <w:t xml:space="preserve">Di seguito una tabella riassuntiva dei volumi di gioco regionali, </w:t>
      </w:r>
      <w:r w:rsidR="004717FF">
        <w:rPr>
          <w:rFonts w:ascii="DecimaWE Rg" w:hAnsi="DecimaWE Rg"/>
        </w:rPr>
        <w:t xml:space="preserve">divisi per tipologie di gioco, </w:t>
      </w:r>
      <w:r>
        <w:rPr>
          <w:rFonts w:ascii="DecimaWE Rg" w:hAnsi="DecimaWE Rg"/>
        </w:rPr>
        <w:t xml:space="preserve">negli anni 2015-2017. </w:t>
      </w:r>
    </w:p>
    <w:p w:rsidR="00C85BE8" w:rsidRPr="00394D8A" w:rsidRDefault="00C85BE8" w:rsidP="00C85BE8">
      <w:pPr>
        <w:pStyle w:val="Didascalia"/>
        <w:keepNext/>
        <w:spacing w:after="0" w:line="276" w:lineRule="auto"/>
        <w:jc w:val="both"/>
        <w:rPr>
          <w:rStyle w:val="Nessuno"/>
          <w:rFonts w:ascii="DecimaWE Rg" w:eastAsia="DecimaWE Rg" w:hAnsi="DecimaWE Rg" w:cs="DecimaWE Rg"/>
          <w:b w:val="0"/>
          <w:bCs w:val="0"/>
          <w:color w:val="000000"/>
          <w:u w:color="000000"/>
        </w:rPr>
      </w:pPr>
      <w:r w:rsidRPr="00394D8A">
        <w:rPr>
          <w:rStyle w:val="Nessuno"/>
          <w:rFonts w:ascii="DecimaWE Rg" w:eastAsia="DecimaWE Rg" w:hAnsi="DecimaWE Rg" w:cs="DecimaWE Rg"/>
          <w:b w:val="0"/>
          <w:bCs w:val="0"/>
          <w:color w:val="000000"/>
          <w:u w:color="000000"/>
        </w:rPr>
        <w:t xml:space="preserve">Tabella 1 – Volumi di gioco </w:t>
      </w:r>
      <w:r w:rsidR="0049393C">
        <w:rPr>
          <w:rStyle w:val="Nessuno"/>
          <w:rFonts w:ascii="DecimaWE Rg" w:eastAsia="DecimaWE Rg" w:hAnsi="DecimaWE Rg" w:cs="DecimaWE Rg"/>
          <w:b w:val="0"/>
          <w:bCs w:val="0"/>
          <w:color w:val="000000"/>
          <w:u w:color="000000"/>
        </w:rPr>
        <w:t>della Regione FVG</w:t>
      </w:r>
      <w:r w:rsidRPr="00394D8A">
        <w:rPr>
          <w:rStyle w:val="Rimandonotaapidipagina"/>
          <w:rFonts w:ascii="DecimaWE Rg" w:eastAsia="DecimaWE Rg" w:hAnsi="DecimaWE Rg" w:cs="DecimaWE Rg"/>
          <w:b w:val="0"/>
          <w:bCs w:val="0"/>
          <w:color w:val="000000"/>
          <w:u w:color="000000"/>
        </w:rPr>
        <w:footnoteReference w:id="4"/>
      </w:r>
      <w:r w:rsidRPr="00394D8A">
        <w:rPr>
          <w:rStyle w:val="Nessuno"/>
          <w:rFonts w:ascii="DecimaWE Rg" w:eastAsia="DecimaWE Rg" w:hAnsi="DecimaWE Rg" w:cs="DecimaWE Rg"/>
          <w:b w:val="0"/>
          <w:bCs w:val="0"/>
          <w:color w:val="000000"/>
          <w:u w:color="000000"/>
        </w:rPr>
        <w:t xml:space="preserve"> dati in milioni di Euro – Anno 2015 – 2017</w:t>
      </w:r>
    </w:p>
    <w:tbl>
      <w:tblPr>
        <w:tblW w:w="9770" w:type="dxa"/>
        <w:tblInd w:w="55" w:type="dxa"/>
        <w:tblCellMar>
          <w:left w:w="70" w:type="dxa"/>
          <w:right w:w="70" w:type="dxa"/>
        </w:tblCellMar>
        <w:tblLook w:val="04A0" w:firstRow="1" w:lastRow="0" w:firstColumn="1" w:lastColumn="0" w:noHBand="0" w:noVBand="1"/>
      </w:tblPr>
      <w:tblGrid>
        <w:gridCol w:w="4599"/>
        <w:gridCol w:w="583"/>
        <w:gridCol w:w="583"/>
        <w:gridCol w:w="585"/>
        <w:gridCol w:w="583"/>
        <w:gridCol w:w="583"/>
        <w:gridCol w:w="585"/>
        <w:gridCol w:w="502"/>
        <w:gridCol w:w="583"/>
        <w:gridCol w:w="584"/>
      </w:tblGrid>
      <w:tr w:rsidR="00B57BFF" w:rsidRPr="00C853CE" w:rsidTr="00394D8A">
        <w:trPr>
          <w:trHeight w:val="158"/>
        </w:trPr>
        <w:tc>
          <w:tcPr>
            <w:tcW w:w="45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rPr>
                <w:rFonts w:ascii="DecimaWE Rg" w:eastAsia="Times New Roman" w:hAnsi="DecimaWE Rg" w:cs="Times New Roman"/>
              </w:rPr>
            </w:pPr>
            <w:r w:rsidRPr="00C853CE">
              <w:rPr>
                <w:rFonts w:ascii="DecimaWE Rg" w:eastAsia="Times New Roman" w:hAnsi="DecimaWE Rg" w:cs="Times New Roman"/>
              </w:rPr>
              <w:t> </w:t>
            </w:r>
          </w:p>
        </w:tc>
        <w:tc>
          <w:tcPr>
            <w:tcW w:w="1751" w:type="dxa"/>
            <w:gridSpan w:val="3"/>
            <w:tcBorders>
              <w:top w:val="single" w:sz="4" w:space="0" w:color="auto"/>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20"/>
                <w:szCs w:val="20"/>
              </w:rPr>
            </w:pPr>
            <w:r w:rsidRPr="00F046EE">
              <w:rPr>
                <w:rFonts w:ascii="DecimaWE Rg" w:eastAsia="Times New Roman" w:hAnsi="DecimaWE Rg" w:cs="Times New Roman"/>
                <w:b/>
                <w:sz w:val="20"/>
                <w:szCs w:val="20"/>
              </w:rPr>
              <w:t>Raccolta</w:t>
            </w:r>
          </w:p>
        </w:tc>
        <w:tc>
          <w:tcPr>
            <w:tcW w:w="1751" w:type="dxa"/>
            <w:gridSpan w:val="3"/>
            <w:tcBorders>
              <w:top w:val="single" w:sz="4" w:space="0" w:color="auto"/>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20"/>
                <w:szCs w:val="20"/>
              </w:rPr>
            </w:pPr>
            <w:r w:rsidRPr="00F046EE">
              <w:rPr>
                <w:rFonts w:ascii="DecimaWE Rg" w:eastAsia="Times New Roman" w:hAnsi="DecimaWE Rg" w:cs="Times New Roman"/>
                <w:b/>
                <w:sz w:val="20"/>
                <w:szCs w:val="20"/>
              </w:rPr>
              <w:t xml:space="preserve">Vincite </w:t>
            </w:r>
          </w:p>
        </w:tc>
        <w:tc>
          <w:tcPr>
            <w:tcW w:w="1669" w:type="dxa"/>
            <w:gridSpan w:val="3"/>
            <w:tcBorders>
              <w:top w:val="single" w:sz="4" w:space="0" w:color="auto"/>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20"/>
                <w:szCs w:val="20"/>
              </w:rPr>
            </w:pPr>
            <w:r w:rsidRPr="00F046EE">
              <w:rPr>
                <w:rFonts w:ascii="DecimaWE Rg" w:eastAsia="Times New Roman" w:hAnsi="DecimaWE Rg" w:cs="Times New Roman"/>
                <w:b/>
                <w:sz w:val="20"/>
                <w:szCs w:val="20"/>
              </w:rPr>
              <w:t xml:space="preserve">Spesa </w:t>
            </w:r>
          </w:p>
        </w:tc>
      </w:tr>
      <w:tr w:rsidR="00B57BFF" w:rsidRPr="00C853CE" w:rsidTr="00394D8A">
        <w:trPr>
          <w:trHeight w:val="158"/>
        </w:trPr>
        <w:tc>
          <w:tcPr>
            <w:tcW w:w="4599" w:type="dxa"/>
            <w:vMerge/>
            <w:tcBorders>
              <w:top w:val="single" w:sz="4" w:space="0" w:color="auto"/>
              <w:left w:val="single" w:sz="4" w:space="0" w:color="auto"/>
              <w:bottom w:val="single" w:sz="4" w:space="0" w:color="auto"/>
              <w:right w:val="single" w:sz="4" w:space="0" w:color="auto"/>
            </w:tcBorders>
            <w:vAlign w:val="center"/>
            <w:hideMark/>
          </w:tcPr>
          <w:p w:rsidR="00C85BE8" w:rsidRPr="00C853CE" w:rsidRDefault="00C85BE8" w:rsidP="00912B1C">
            <w:pPr>
              <w:spacing w:after="0" w:line="240" w:lineRule="auto"/>
              <w:rPr>
                <w:rFonts w:ascii="DecimaWE Rg" w:eastAsia="Times New Roman" w:hAnsi="DecimaWE Rg" w:cs="Times New Roman"/>
              </w:rPr>
            </w:pPr>
          </w:p>
        </w:tc>
        <w:tc>
          <w:tcPr>
            <w:tcW w:w="583"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6"/>
              </w:rPr>
              <w:t>2015</w:t>
            </w:r>
          </w:p>
        </w:tc>
        <w:tc>
          <w:tcPr>
            <w:tcW w:w="583"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8"/>
              </w:rPr>
              <w:t>2016</w:t>
            </w:r>
          </w:p>
        </w:tc>
        <w:tc>
          <w:tcPr>
            <w:tcW w:w="584"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6"/>
              </w:rPr>
              <w:t>2017</w:t>
            </w:r>
          </w:p>
        </w:tc>
        <w:tc>
          <w:tcPr>
            <w:tcW w:w="583"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6"/>
              </w:rPr>
              <w:t>2015</w:t>
            </w:r>
          </w:p>
        </w:tc>
        <w:tc>
          <w:tcPr>
            <w:tcW w:w="583"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8"/>
              </w:rPr>
              <w:t>2016</w:t>
            </w:r>
          </w:p>
        </w:tc>
        <w:tc>
          <w:tcPr>
            <w:tcW w:w="584"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6"/>
              </w:rPr>
              <w:t>2017</w:t>
            </w:r>
          </w:p>
        </w:tc>
        <w:tc>
          <w:tcPr>
            <w:tcW w:w="502"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6"/>
              </w:rPr>
              <w:t>2015</w:t>
            </w:r>
          </w:p>
        </w:tc>
        <w:tc>
          <w:tcPr>
            <w:tcW w:w="583"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8"/>
              </w:rPr>
              <w:t>2016</w:t>
            </w:r>
          </w:p>
        </w:tc>
        <w:tc>
          <w:tcPr>
            <w:tcW w:w="584" w:type="dxa"/>
            <w:tcBorders>
              <w:top w:val="nil"/>
              <w:left w:val="nil"/>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jc w:val="center"/>
              <w:rPr>
                <w:rFonts w:ascii="DecimaWE Rg" w:eastAsia="Times New Roman" w:hAnsi="DecimaWE Rg" w:cs="Times New Roman"/>
                <w:b/>
                <w:sz w:val="16"/>
                <w:szCs w:val="16"/>
              </w:rPr>
            </w:pPr>
            <w:r w:rsidRPr="00F046EE">
              <w:rPr>
                <w:rFonts w:ascii="DecimaWE Rg" w:eastAsia="Times New Roman" w:hAnsi="DecimaWE Rg" w:cs="Times New Roman"/>
                <w:b/>
                <w:sz w:val="16"/>
                <w:szCs w:val="16"/>
              </w:rPr>
              <w:t>2017</w:t>
            </w:r>
          </w:p>
        </w:tc>
      </w:tr>
      <w:tr w:rsidR="00B57BFF" w:rsidRPr="00C853CE" w:rsidTr="00394D8A">
        <w:trPr>
          <w:trHeight w:val="15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Apparecchi (</w:t>
            </w:r>
            <w:proofErr w:type="spellStart"/>
            <w:r w:rsidRPr="00F046EE">
              <w:rPr>
                <w:rFonts w:ascii="DecimaWE Rg" w:eastAsia="Times New Roman" w:hAnsi="DecimaWE Rg" w:cs="Times New Roman"/>
                <w:b/>
                <w:sz w:val="18"/>
                <w:szCs w:val="18"/>
              </w:rPr>
              <w:t>Newslot</w:t>
            </w:r>
            <w:proofErr w:type="spellEnd"/>
            <w:r w:rsidRPr="00F046EE">
              <w:rPr>
                <w:rFonts w:ascii="DecimaWE Rg" w:eastAsia="Times New Roman" w:hAnsi="DecimaWE Rg" w:cs="Times New Roman"/>
                <w:b/>
                <w:sz w:val="18"/>
                <w:szCs w:val="18"/>
              </w:rPr>
              <w:t>, VLT e comma7)</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1.020</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1.035</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1.028</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811</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811</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800</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209</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224</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228</w:t>
            </w:r>
          </w:p>
        </w:tc>
      </w:tr>
      <w:tr w:rsidR="00B57BFF" w:rsidRPr="00C853CE" w:rsidTr="00394D8A">
        <w:trPr>
          <w:trHeight w:val="15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Bingo</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25</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23</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24</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18</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17</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17</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7</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7</w:t>
            </w:r>
          </w:p>
        </w:tc>
      </w:tr>
      <w:tr w:rsidR="00B57BFF" w:rsidRPr="00C853CE" w:rsidTr="00394D8A">
        <w:trPr>
          <w:trHeight w:val="26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Giochi numerici a totalizzatore (</w:t>
            </w:r>
            <w:proofErr w:type="spellStart"/>
            <w:r w:rsidRPr="00F046EE">
              <w:rPr>
                <w:rFonts w:ascii="DecimaWE Rg" w:eastAsia="Times New Roman" w:hAnsi="DecimaWE Rg" w:cs="Times New Roman"/>
                <w:b/>
                <w:sz w:val="18"/>
                <w:szCs w:val="18"/>
              </w:rPr>
              <w:t>Eurojackpot</w:t>
            </w:r>
            <w:proofErr w:type="spellEnd"/>
            <w:r w:rsidRPr="00F046EE">
              <w:rPr>
                <w:rFonts w:ascii="DecimaWE Rg" w:eastAsia="Times New Roman" w:hAnsi="DecimaWE Rg" w:cs="Times New Roman"/>
                <w:b/>
                <w:sz w:val="18"/>
                <w:szCs w:val="18"/>
              </w:rPr>
              <w:t xml:space="preserve">, Superenalotto, </w:t>
            </w:r>
            <w:proofErr w:type="spellStart"/>
            <w:r w:rsidRPr="00F046EE">
              <w:rPr>
                <w:rFonts w:ascii="DecimaWE Rg" w:eastAsia="Times New Roman" w:hAnsi="DecimaWE Rg" w:cs="Times New Roman"/>
                <w:b/>
                <w:sz w:val="18"/>
                <w:szCs w:val="18"/>
              </w:rPr>
              <w:t>Winforlife</w:t>
            </w:r>
            <w:proofErr w:type="spellEnd"/>
            <w:r w:rsidRPr="00F046EE">
              <w:rPr>
                <w:rFonts w:ascii="DecimaWE Rg" w:eastAsia="Times New Roman" w:hAnsi="DecimaWE Rg" w:cs="Times New Roman"/>
                <w:b/>
                <w:sz w:val="18"/>
                <w:szCs w:val="18"/>
              </w:rPr>
              <w:t xml:space="preserve"> e </w:t>
            </w:r>
            <w:proofErr w:type="spellStart"/>
            <w:r w:rsidRPr="00F046EE">
              <w:rPr>
                <w:rFonts w:ascii="DecimaWE Rg" w:eastAsia="Times New Roman" w:hAnsi="DecimaWE Rg" w:cs="Times New Roman"/>
                <w:b/>
                <w:sz w:val="18"/>
                <w:szCs w:val="18"/>
              </w:rPr>
              <w:t>Playsix</w:t>
            </w:r>
            <w:proofErr w:type="spellEnd"/>
            <w:r w:rsidRPr="00F046EE">
              <w:rPr>
                <w:rFonts w:ascii="DecimaWE Rg" w:eastAsia="Times New Roman" w:hAnsi="DecimaWE Rg" w:cs="Times New Roman"/>
                <w:b/>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29</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40</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40</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9</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17</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20</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20</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24</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20</w:t>
            </w:r>
          </w:p>
        </w:tc>
      </w:tr>
      <w:tr w:rsidR="00B57BFF" w:rsidRPr="00C853CE" w:rsidTr="00394D8A">
        <w:trPr>
          <w:trHeight w:val="15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Giochi a base ippica</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6</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6</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5</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4</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4</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w:t>
            </w:r>
          </w:p>
        </w:tc>
      </w:tr>
      <w:tr w:rsidR="00B57BFF" w:rsidRPr="00C853CE" w:rsidTr="00394D8A">
        <w:trPr>
          <w:trHeight w:val="26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 xml:space="preserve">Giochi a base sportiva (Big, Concorsi pronostici sportivi e Scommesse sportive a quota fissa) </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35</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42</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42</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28</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34</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33</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9</w:t>
            </w:r>
          </w:p>
        </w:tc>
      </w:tr>
      <w:tr w:rsidR="00B57BFF" w:rsidRPr="00C853CE" w:rsidTr="00394D8A">
        <w:trPr>
          <w:trHeight w:val="15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 xml:space="preserve">Lotterie </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129</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132</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135</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92</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97</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102</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37</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35</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33</w:t>
            </w:r>
          </w:p>
        </w:tc>
      </w:tr>
      <w:tr w:rsidR="00B57BFF" w:rsidRPr="00C853CE" w:rsidTr="00394D8A">
        <w:trPr>
          <w:trHeight w:val="15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Lotto</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95</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106</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95</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66</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62</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60</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29</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44</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35</w:t>
            </w:r>
          </w:p>
        </w:tc>
      </w:tr>
      <w:tr w:rsidR="00B57BFF" w:rsidRPr="00C853CE" w:rsidTr="00394D8A">
        <w:trPr>
          <w:trHeight w:val="158"/>
        </w:trPr>
        <w:tc>
          <w:tcPr>
            <w:tcW w:w="4599" w:type="dxa"/>
            <w:tcBorders>
              <w:top w:val="nil"/>
              <w:left w:val="single" w:sz="4" w:space="0" w:color="auto"/>
              <w:bottom w:val="single" w:sz="4" w:space="0" w:color="auto"/>
              <w:right w:val="single" w:sz="4" w:space="0" w:color="auto"/>
            </w:tcBorders>
            <w:shd w:val="clear" w:color="auto" w:fill="auto"/>
            <w:vAlign w:val="center"/>
            <w:hideMark/>
          </w:tcPr>
          <w:p w:rsidR="00C85BE8" w:rsidRPr="00F046EE" w:rsidRDefault="00C85BE8" w:rsidP="00912B1C">
            <w:pPr>
              <w:spacing w:after="0" w:line="240" w:lineRule="auto"/>
              <w:rPr>
                <w:rFonts w:ascii="DecimaWE Rg" w:eastAsia="Times New Roman" w:hAnsi="DecimaWE Rg" w:cs="Times New Roman"/>
                <w:b/>
                <w:sz w:val="18"/>
                <w:szCs w:val="18"/>
              </w:rPr>
            </w:pPr>
            <w:r w:rsidRPr="00F046EE">
              <w:rPr>
                <w:rFonts w:ascii="DecimaWE Rg" w:eastAsia="Times New Roman" w:hAnsi="DecimaWE Rg" w:cs="Times New Roman"/>
                <w:b/>
                <w:sz w:val="18"/>
                <w:szCs w:val="18"/>
              </w:rPr>
              <w:t>Scommesse Virtuali</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7</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8</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7</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6</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7</w:t>
            </w:r>
          </w:p>
        </w:tc>
        <w:tc>
          <w:tcPr>
            <w:tcW w:w="502"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w:t>
            </w:r>
          </w:p>
        </w:tc>
        <w:tc>
          <w:tcPr>
            <w:tcW w:w="583"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w:t>
            </w:r>
          </w:p>
        </w:tc>
        <w:tc>
          <w:tcPr>
            <w:tcW w:w="584" w:type="dxa"/>
            <w:tcBorders>
              <w:top w:val="nil"/>
              <w:left w:val="nil"/>
              <w:bottom w:val="single" w:sz="4" w:space="0" w:color="auto"/>
              <w:right w:val="single" w:sz="4" w:space="0" w:color="auto"/>
            </w:tcBorders>
            <w:shd w:val="clear" w:color="auto" w:fill="auto"/>
            <w:vAlign w:val="center"/>
            <w:hideMark/>
          </w:tcPr>
          <w:p w:rsidR="00C85BE8" w:rsidRPr="00C853CE" w:rsidRDefault="00C85BE8" w:rsidP="00912B1C">
            <w:pPr>
              <w:spacing w:after="0" w:line="240" w:lineRule="auto"/>
              <w:jc w:val="right"/>
              <w:rPr>
                <w:rFonts w:ascii="DecimaWE Rg" w:eastAsia="Times New Roman" w:hAnsi="DecimaWE Rg" w:cs="Times New Roman"/>
                <w:sz w:val="18"/>
                <w:szCs w:val="18"/>
              </w:rPr>
            </w:pPr>
            <w:r w:rsidRPr="00C853CE">
              <w:rPr>
                <w:rFonts w:ascii="DecimaWE Rg" w:eastAsia="Times New Roman" w:hAnsi="DecimaWE Rg" w:cs="Times New Roman"/>
                <w:sz w:val="18"/>
                <w:szCs w:val="18"/>
              </w:rPr>
              <w:t>1</w:t>
            </w:r>
          </w:p>
        </w:tc>
      </w:tr>
    </w:tbl>
    <w:p w:rsidR="000D745C" w:rsidRPr="0076425C" w:rsidRDefault="00C85BE8" w:rsidP="0076425C">
      <w:pPr>
        <w:spacing w:line="240" w:lineRule="auto"/>
        <w:jc w:val="both"/>
        <w:rPr>
          <w:rFonts w:ascii="DecimaWE Rg" w:hAnsi="DecimaWE Rg"/>
          <w:i/>
          <w:sz w:val="16"/>
          <w:szCs w:val="24"/>
        </w:rPr>
      </w:pPr>
      <w:r w:rsidRPr="00AF2DDF">
        <w:rPr>
          <w:rFonts w:ascii="DecimaWE Rg" w:hAnsi="DecimaWE Rg"/>
          <w:i/>
          <w:sz w:val="16"/>
          <w:szCs w:val="24"/>
        </w:rPr>
        <w:t>Fonte: Agenzia delle dogane  e dei Monopoli, Organizzazione, attività e statistica. Anno 2015</w:t>
      </w:r>
      <w:r>
        <w:rPr>
          <w:rFonts w:ascii="DecimaWE Rg" w:hAnsi="DecimaWE Rg"/>
          <w:i/>
          <w:sz w:val="16"/>
          <w:szCs w:val="24"/>
        </w:rPr>
        <w:t>-2017</w:t>
      </w:r>
      <w:r w:rsidRPr="00AF2DDF">
        <w:rPr>
          <w:rFonts w:ascii="DecimaWE Rg" w:hAnsi="DecimaWE Rg"/>
          <w:i/>
          <w:sz w:val="16"/>
          <w:szCs w:val="24"/>
        </w:rPr>
        <w:t xml:space="preserve">. </w:t>
      </w:r>
    </w:p>
    <w:p w:rsidR="000964BF" w:rsidRPr="001455D2" w:rsidRDefault="00A45515" w:rsidP="000D745C">
      <w:pPr>
        <w:spacing w:after="0"/>
        <w:jc w:val="both"/>
        <w:rPr>
          <w:rFonts w:ascii="DecimaWE Rg" w:hAnsi="DecimaWE Rg" w:cs="Times New Roman"/>
        </w:rPr>
      </w:pPr>
      <w:r>
        <w:rPr>
          <w:rFonts w:ascii="DecimaWE Rg" w:hAnsi="DecimaWE Rg" w:cs="Times New Roman"/>
        </w:rPr>
        <w:t xml:space="preserve">Relativamente all’offerta di gioco d’azzardo, </w:t>
      </w:r>
      <w:r w:rsidRPr="00D25911">
        <w:rPr>
          <w:rFonts w:ascii="DecimaWE Rg" w:hAnsi="DecimaWE Rg" w:cs="Times New Roman"/>
        </w:rPr>
        <w:t>in base ai dati forniti dall’Agenzia delle Dogane e dei Monopoli al 31/12/2018,</w:t>
      </w:r>
      <w:r>
        <w:rPr>
          <w:rFonts w:ascii="DecimaWE Rg" w:hAnsi="DecimaWE Rg" w:cs="Times New Roman"/>
        </w:rPr>
        <w:t xml:space="preserve"> in regione erano presenti </w:t>
      </w:r>
      <w:r w:rsidRPr="00A45515">
        <w:rPr>
          <w:rFonts w:ascii="DecimaWE Rg" w:hAnsi="DecimaWE Rg"/>
          <w:b/>
        </w:rPr>
        <w:t>1.197</w:t>
      </w:r>
      <w:r w:rsidRPr="00A45515">
        <w:rPr>
          <w:rFonts w:ascii="DecimaWE Rg" w:hAnsi="DecimaWE Rg"/>
          <w:b/>
        </w:rPr>
        <w:t xml:space="preserve"> punti di gioco e </w:t>
      </w:r>
      <w:r w:rsidRPr="00A45515">
        <w:rPr>
          <w:rFonts w:ascii="DecimaWE Rg" w:hAnsi="DecimaWE Rg"/>
          <w:b/>
        </w:rPr>
        <w:t>4.609</w:t>
      </w:r>
      <w:r w:rsidRPr="00A45515">
        <w:rPr>
          <w:rFonts w:ascii="DecimaWE Rg" w:hAnsi="DecimaWE Rg"/>
          <w:b/>
        </w:rPr>
        <w:t xml:space="preserve"> apparecchi</w:t>
      </w:r>
      <w:r>
        <w:rPr>
          <w:rFonts w:ascii="DecimaWE Rg" w:hAnsi="DecimaWE Rg"/>
        </w:rPr>
        <w:t>,</w:t>
      </w:r>
      <w:r w:rsidRPr="00A45515">
        <w:rPr>
          <w:rFonts w:ascii="DecimaWE Rg" w:hAnsi="DecimaWE Rg"/>
        </w:rPr>
        <w:t xml:space="preserve"> </w:t>
      </w:r>
      <w:r>
        <w:rPr>
          <w:rFonts w:ascii="DecimaWE Rg" w:hAnsi="DecimaWE Rg" w:cs="Times New Roman"/>
        </w:rPr>
        <w:t>nella</w:t>
      </w:r>
      <w:r w:rsidR="007E5530">
        <w:rPr>
          <w:rFonts w:ascii="DecimaWE Rg" w:hAnsi="DecimaWE Rg" w:cs="Times New Roman"/>
        </w:rPr>
        <w:t xml:space="preserve"> provincia di Pordenone</w:t>
      </w:r>
      <w:r w:rsidR="007E5530" w:rsidRPr="00D25911">
        <w:rPr>
          <w:rFonts w:ascii="DecimaWE Rg" w:hAnsi="DecimaWE Rg" w:cs="Times New Roman"/>
        </w:rPr>
        <w:t xml:space="preserve"> </w:t>
      </w:r>
      <w:r w:rsidRPr="00D25911">
        <w:rPr>
          <w:rFonts w:ascii="DecimaWE Rg" w:hAnsi="DecimaWE Rg" w:cs="Times New Roman"/>
          <w:b/>
        </w:rPr>
        <w:t xml:space="preserve">1.468 </w:t>
      </w:r>
      <w:r w:rsidR="007E5530" w:rsidRPr="00A45515">
        <w:rPr>
          <w:rFonts w:ascii="DecimaWE Rg" w:hAnsi="DecimaWE Rg" w:cs="Times New Roman"/>
          <w:b/>
        </w:rPr>
        <w:t>apparecchi</w:t>
      </w:r>
      <w:r w:rsidR="007E5530" w:rsidRPr="00D25911">
        <w:rPr>
          <w:rFonts w:ascii="DecimaWE Rg" w:hAnsi="DecimaWE Rg" w:cs="Times New Roman"/>
        </w:rPr>
        <w:t xml:space="preserve"> </w:t>
      </w:r>
      <w:r w:rsidR="00661D9A" w:rsidRPr="00D25911">
        <w:rPr>
          <w:rFonts w:ascii="DecimaWE Rg" w:hAnsi="DecimaWE Rg" w:cs="Times New Roman"/>
          <w:b/>
        </w:rPr>
        <w:t xml:space="preserve">suddivisi in </w:t>
      </w:r>
      <w:r w:rsidR="004D5C2B" w:rsidRPr="00D25911">
        <w:rPr>
          <w:rFonts w:ascii="DecimaWE Rg" w:hAnsi="DecimaWE Rg" w:cs="Times New Roman"/>
          <w:b/>
        </w:rPr>
        <w:t xml:space="preserve">374 </w:t>
      </w:r>
      <w:r w:rsidR="00661D9A" w:rsidRPr="00D25911">
        <w:rPr>
          <w:rFonts w:ascii="DecimaWE Rg" w:hAnsi="DecimaWE Rg" w:cs="Times New Roman"/>
          <w:b/>
        </w:rPr>
        <w:t>punti gioco</w:t>
      </w:r>
      <w:r w:rsidR="00A371D8">
        <w:rPr>
          <w:rFonts w:ascii="DecimaWE Rg" w:hAnsi="DecimaWE Rg" w:cs="Times New Roman"/>
        </w:rPr>
        <w:t>.</w:t>
      </w:r>
      <w:r w:rsidR="007E5530" w:rsidRPr="00D25911">
        <w:rPr>
          <w:rFonts w:ascii="DecimaWE Rg" w:hAnsi="DecimaWE Rg" w:cs="Times New Roman"/>
        </w:rPr>
        <w:t xml:space="preserve"> </w:t>
      </w:r>
      <w:r>
        <w:rPr>
          <w:rFonts w:ascii="DecimaWE Rg" w:hAnsi="DecimaWE Rg" w:cs="Times New Roman"/>
        </w:rPr>
        <w:t>Nella provincia, t</w:t>
      </w:r>
      <w:r w:rsidR="00A371D8">
        <w:rPr>
          <w:rFonts w:ascii="DecimaWE Rg" w:hAnsi="DecimaWE Rg" w:cs="Times New Roman"/>
        </w:rPr>
        <w:t>ali apparecchi sono presenti in</w:t>
      </w:r>
      <w:r w:rsidR="00CF5B44" w:rsidRPr="00D25911">
        <w:rPr>
          <w:rFonts w:ascii="DecimaWE Rg" w:hAnsi="DecimaWE Rg" w:cs="Times New Roman"/>
        </w:rPr>
        <w:t xml:space="preserve"> </w:t>
      </w:r>
      <w:r w:rsidR="00EA4425" w:rsidRPr="00D25911">
        <w:rPr>
          <w:rFonts w:ascii="DecimaWE Rg" w:hAnsi="DecimaWE Rg" w:cs="Times New Roman"/>
          <w:b/>
        </w:rPr>
        <w:t>46</w:t>
      </w:r>
      <w:r w:rsidR="002B3DB8" w:rsidRPr="00D25911">
        <w:rPr>
          <w:rFonts w:ascii="DecimaWE Rg" w:hAnsi="DecimaWE Rg" w:cs="Times New Roman"/>
          <w:b/>
        </w:rPr>
        <w:t xml:space="preserve"> Comuni </w:t>
      </w:r>
      <w:r w:rsidR="002B3DB8" w:rsidRPr="00D25911">
        <w:rPr>
          <w:rFonts w:ascii="DecimaWE Rg" w:hAnsi="DecimaWE Rg" w:cs="Times New Roman"/>
        </w:rPr>
        <w:t xml:space="preserve">e </w:t>
      </w:r>
      <w:r w:rsidR="007E5530" w:rsidRPr="00D25911">
        <w:rPr>
          <w:rFonts w:ascii="DecimaWE Rg" w:hAnsi="DecimaWE Rg" w:cs="Times New Roman"/>
        </w:rPr>
        <w:t>collocati in bar, o esercizi assimilabili, rivendi</w:t>
      </w:r>
      <w:r w:rsidR="00EB7A44" w:rsidRPr="00D25911">
        <w:rPr>
          <w:rFonts w:ascii="DecimaWE Rg" w:hAnsi="DecimaWE Rg" w:cs="Times New Roman"/>
        </w:rPr>
        <w:t xml:space="preserve">te di tabacchi e/o ricevitoria/lotto, edicole, circoli privati, ristoranti, o esercizi assimilabili, </w:t>
      </w:r>
      <w:r w:rsidR="00CC096F" w:rsidRPr="00D25911">
        <w:rPr>
          <w:rFonts w:ascii="DecimaWE Rg" w:hAnsi="DecimaWE Rg" w:cs="Times New Roman"/>
        </w:rPr>
        <w:t xml:space="preserve">sale giochi, agenzie scommesse e esercizi dedicati a AWP e </w:t>
      </w:r>
      <w:r w:rsidR="004D5C73" w:rsidRPr="00D25911">
        <w:rPr>
          <w:rFonts w:ascii="DecimaWE Rg" w:hAnsi="DecimaWE Rg" w:cs="Times New Roman"/>
        </w:rPr>
        <w:t>V</w:t>
      </w:r>
      <w:r w:rsidR="00CC096F" w:rsidRPr="00D25911">
        <w:rPr>
          <w:rFonts w:ascii="DecimaWE Rg" w:hAnsi="DecimaWE Rg" w:cs="Times New Roman"/>
        </w:rPr>
        <w:t>LT.</w:t>
      </w:r>
      <w:r w:rsidR="00CC096F" w:rsidRPr="001455D2">
        <w:rPr>
          <w:rFonts w:ascii="DecimaWE Rg" w:hAnsi="DecimaWE Rg" w:cs="Times New Roman"/>
        </w:rPr>
        <w:t xml:space="preserve"> </w:t>
      </w:r>
    </w:p>
    <w:p w:rsidR="000D745C" w:rsidRPr="00DA5599" w:rsidRDefault="000D745C" w:rsidP="000D745C">
      <w:pPr>
        <w:spacing w:after="0"/>
        <w:jc w:val="both"/>
        <w:rPr>
          <w:rFonts w:ascii="DecimaWE Rg" w:hAnsi="DecimaWE Rg" w:cs="Times New Roman"/>
        </w:rPr>
      </w:pPr>
      <w:r w:rsidRPr="001455D2">
        <w:rPr>
          <w:rFonts w:ascii="DecimaWE Rg" w:hAnsi="DecimaWE Rg" w:cs="Times New Roman"/>
        </w:rPr>
        <w:t>Accanto ai dati economici</w:t>
      </w:r>
      <w:r w:rsidR="00DA5599" w:rsidRPr="001455D2">
        <w:rPr>
          <w:rFonts w:ascii="DecimaWE Rg" w:hAnsi="DecimaWE Rg" w:cs="Times New Roman"/>
        </w:rPr>
        <w:t>, la rilevanza del fenomen</w:t>
      </w:r>
      <w:r w:rsidR="00DA5599" w:rsidRPr="00057D18">
        <w:rPr>
          <w:rFonts w:ascii="DecimaWE Rg" w:hAnsi="DecimaWE Rg" w:cs="Times New Roman"/>
        </w:rPr>
        <w:t xml:space="preserve">o si evince dai dati relativi all’utenza presa in carico dai Servizi per le dipendenze. </w:t>
      </w:r>
      <w:r w:rsidRPr="00057D18">
        <w:rPr>
          <w:rFonts w:ascii="DecimaWE Rg" w:hAnsi="DecimaWE Rg" w:cs="Times New Roman"/>
        </w:rPr>
        <w:t xml:space="preserve">Nel </w:t>
      </w:r>
      <w:r w:rsidRPr="00057D18">
        <w:rPr>
          <w:rStyle w:val="Hyperlink0"/>
        </w:rPr>
        <w:t xml:space="preserve">2018 sono stati presi in carico dai Servizi per le dipendenze del SSR </w:t>
      </w:r>
      <w:r w:rsidRPr="00057D18">
        <w:rPr>
          <w:rStyle w:val="Hyperlink0"/>
          <w:b/>
        </w:rPr>
        <w:t>577</w:t>
      </w:r>
      <w:r w:rsidRPr="00057D18">
        <w:rPr>
          <w:rStyle w:val="Hyperlink0"/>
        </w:rPr>
        <w:t xml:space="preserve"> </w:t>
      </w:r>
      <w:r w:rsidRPr="00A45515">
        <w:rPr>
          <w:rStyle w:val="Hyperlink0"/>
          <w:b/>
        </w:rPr>
        <w:t>persone</w:t>
      </w:r>
      <w:r w:rsidRPr="00057D18">
        <w:rPr>
          <w:rStyle w:val="Hyperlink0"/>
        </w:rPr>
        <w:t xml:space="preserve"> con un disturbo da gioco d’azzardo, circa il 76% è di genere maschile. Il dato si afferma in costante crescita (</w:t>
      </w:r>
      <w:r w:rsidRPr="00A45515">
        <w:rPr>
          <w:rStyle w:val="Hyperlink0"/>
          <w:b/>
        </w:rPr>
        <w:t>anno 2014</w:t>
      </w:r>
      <w:r w:rsidRPr="00057D18">
        <w:rPr>
          <w:rStyle w:val="Hyperlink0"/>
        </w:rPr>
        <w:t xml:space="preserve"> </w:t>
      </w:r>
      <w:r w:rsidRPr="00A45515">
        <w:rPr>
          <w:rStyle w:val="Hyperlink0"/>
          <w:b/>
        </w:rPr>
        <w:t>390 utenti, anno 2015 406 utenti, anno 2016 421 utenti, anno 2017 502 utenti</w:t>
      </w:r>
      <w:r w:rsidRPr="00057D18">
        <w:rPr>
          <w:rStyle w:val="Hyperlink0"/>
        </w:rPr>
        <w:t xml:space="preserve">). </w:t>
      </w:r>
      <w:r w:rsidR="000E6945" w:rsidRPr="00057D18">
        <w:rPr>
          <w:rStyle w:val="Hyperlink0"/>
        </w:rPr>
        <w:t xml:space="preserve">Guardando nello specifico </w:t>
      </w:r>
      <w:r w:rsidR="000E6945" w:rsidRPr="00057D18">
        <w:rPr>
          <w:rStyle w:val="Hyperlink0"/>
        </w:rPr>
        <w:lastRenderedPageBreak/>
        <w:t xml:space="preserve">alla situazione relativa </w:t>
      </w:r>
      <w:r w:rsidR="000E6945" w:rsidRPr="00A45515">
        <w:rPr>
          <w:rStyle w:val="Hyperlink0"/>
          <w:b/>
        </w:rPr>
        <w:t xml:space="preserve">all’Azienda per </w:t>
      </w:r>
      <w:r w:rsidR="00810C9B" w:rsidRPr="00A45515">
        <w:rPr>
          <w:rStyle w:val="Hyperlink0"/>
          <w:b/>
        </w:rPr>
        <w:t>l’assistenza sanitaria</w:t>
      </w:r>
      <w:r w:rsidR="000E6945" w:rsidRPr="00A45515">
        <w:rPr>
          <w:rStyle w:val="Hyperlink0"/>
          <w:b/>
        </w:rPr>
        <w:t xml:space="preserve"> n. 5</w:t>
      </w:r>
      <w:r w:rsidR="00057D18" w:rsidRPr="00A45515">
        <w:rPr>
          <w:rStyle w:val="Hyperlink0"/>
          <w:b/>
        </w:rPr>
        <w:t xml:space="preserve"> “Friuli Occidentale”</w:t>
      </w:r>
      <w:r w:rsidR="000E6945" w:rsidRPr="00057D18">
        <w:rPr>
          <w:rStyle w:val="Hyperlink0"/>
        </w:rPr>
        <w:t xml:space="preserve">, sono stati presi in carico </w:t>
      </w:r>
      <w:r w:rsidR="000E6945" w:rsidRPr="00E84D7D">
        <w:rPr>
          <w:rStyle w:val="Hyperlink0"/>
          <w:b/>
        </w:rPr>
        <w:t xml:space="preserve">136 </w:t>
      </w:r>
      <w:r w:rsidR="000E6945" w:rsidRPr="00A45515">
        <w:rPr>
          <w:rStyle w:val="Hyperlink0"/>
          <w:b/>
        </w:rPr>
        <w:t xml:space="preserve">utenti </w:t>
      </w:r>
      <w:r w:rsidR="000E6945" w:rsidRPr="00057D18">
        <w:rPr>
          <w:rStyle w:val="Hyperlink0"/>
        </w:rPr>
        <w:t xml:space="preserve">di cui 106 maschi e 30 femmine. Degli utenti totali, </w:t>
      </w:r>
      <w:r w:rsidR="000E6945" w:rsidRPr="00F20340">
        <w:rPr>
          <w:rStyle w:val="Hyperlink0"/>
          <w:b/>
        </w:rPr>
        <w:t>66</w:t>
      </w:r>
      <w:r w:rsidR="000E6945" w:rsidRPr="00057D18">
        <w:rPr>
          <w:rStyle w:val="Hyperlink0"/>
        </w:rPr>
        <w:t xml:space="preserve"> sono </w:t>
      </w:r>
      <w:r w:rsidR="000E6945" w:rsidRPr="00A45515">
        <w:rPr>
          <w:rStyle w:val="Hyperlink0"/>
          <w:b/>
        </w:rPr>
        <w:t>nuovi utenti</w:t>
      </w:r>
      <w:r w:rsidR="000E6945" w:rsidRPr="00A45515">
        <w:rPr>
          <w:rStyle w:val="Hyperlink0"/>
        </w:rPr>
        <w:t>.</w:t>
      </w:r>
      <w:r w:rsidR="000E6945" w:rsidRPr="00A45515">
        <w:rPr>
          <w:rFonts w:cs="Times New Roman"/>
        </w:rPr>
        <w:t xml:space="preserve"> </w:t>
      </w:r>
    </w:p>
    <w:p w:rsidR="006149FC" w:rsidRDefault="0089658D" w:rsidP="003A4ED4">
      <w:pPr>
        <w:spacing w:after="0"/>
        <w:jc w:val="both"/>
        <w:rPr>
          <w:rStyle w:val="Hyperlink0"/>
        </w:rPr>
      </w:pPr>
      <w:r w:rsidRPr="00DD296D">
        <w:rPr>
          <w:rStyle w:val="Hyperlink0"/>
        </w:rPr>
        <w:t xml:space="preserve">Al fine di contrastare il fenomeno e di rispondere alle conseguenze drammatiche di quest’ultimo, molti sono stati gli interventi legislativi e programmatori messi in atto nella nostra Regione. Tra questi </w:t>
      </w:r>
      <w:r w:rsidR="0062015D" w:rsidRPr="00DD296D">
        <w:rPr>
          <w:rStyle w:val="Hyperlink0"/>
        </w:rPr>
        <w:t xml:space="preserve">di fondamentale importanza è stata l’emanazione della </w:t>
      </w:r>
      <w:r w:rsidR="0062015D" w:rsidRPr="001177BD">
        <w:rPr>
          <w:rStyle w:val="Hyperlink0"/>
          <w:b/>
        </w:rPr>
        <w:t>legge regionale n.1 del 14 febbraio 2014</w:t>
      </w:r>
      <w:r w:rsidR="0062015D" w:rsidRPr="00DD296D">
        <w:rPr>
          <w:rStyle w:val="Hyperlink0"/>
        </w:rPr>
        <w:t xml:space="preserve"> “Disposizioni per la prevenzione, il trattamento e il contrasto della dipendenza da gioco d'azzardo, nonché delle problematiche e patologie correlate”, grazie alla quale si sono disposti interventi orientati alla prevenzione, al trattamento, al contrasto e alla promozione della consapevolezza dei rischi correlati alla dipendenza da gioco d'azzardo e da gioco praticato con apparecchi per il gioco lecito.</w:t>
      </w:r>
      <w:r w:rsidR="008471A8" w:rsidRPr="00DD296D">
        <w:rPr>
          <w:rStyle w:val="Hyperlink0"/>
        </w:rPr>
        <w:t xml:space="preserve"> </w:t>
      </w:r>
      <w:r w:rsidR="00DD296D" w:rsidRPr="00DD296D">
        <w:rPr>
          <w:rStyle w:val="Hyperlink0"/>
        </w:rPr>
        <w:t xml:space="preserve">In ottemperanza alla suddetta è stato istituito il Tavolo tecnico regionale gioco d’azzardo patologico, </w:t>
      </w:r>
      <w:r w:rsidR="003A4ED4" w:rsidRPr="003A4ED4">
        <w:rPr>
          <w:rStyle w:val="Hyperlink0"/>
        </w:rPr>
        <w:t>istituito con</w:t>
      </w:r>
      <w:r w:rsidR="003A4ED4">
        <w:rPr>
          <w:rStyle w:val="Hyperlink0"/>
        </w:rPr>
        <w:t xml:space="preserve"> Decreto del Direttore centrale </w:t>
      </w:r>
      <w:r w:rsidR="003A4ED4" w:rsidRPr="003A4ED4">
        <w:rPr>
          <w:rStyle w:val="Hyperlink0"/>
        </w:rPr>
        <w:t>salute n. 584 del 18 giugno 2014</w:t>
      </w:r>
      <w:r w:rsidR="003A4ED4">
        <w:rPr>
          <w:rStyle w:val="Hyperlink0"/>
        </w:rPr>
        <w:t>,</w:t>
      </w:r>
      <w:r w:rsidR="003A4ED4" w:rsidRPr="003A4ED4">
        <w:rPr>
          <w:rStyle w:val="Hyperlink0"/>
        </w:rPr>
        <w:t xml:space="preserve"> </w:t>
      </w:r>
      <w:r w:rsidR="00DD296D" w:rsidRPr="00DD296D">
        <w:rPr>
          <w:rStyle w:val="Hyperlink0"/>
        </w:rPr>
        <w:t xml:space="preserve">con funzioni di studio e monitoraggio del </w:t>
      </w:r>
      <w:r w:rsidR="00714126">
        <w:rPr>
          <w:rStyle w:val="Hyperlink0"/>
        </w:rPr>
        <w:t>DGA</w:t>
      </w:r>
      <w:r w:rsidR="00DD296D" w:rsidRPr="00DD296D">
        <w:rPr>
          <w:rStyle w:val="Hyperlink0"/>
        </w:rPr>
        <w:t xml:space="preserve"> in ambito regionale</w:t>
      </w:r>
      <w:r w:rsidR="00DD296D">
        <w:rPr>
          <w:rStyle w:val="Hyperlink0"/>
        </w:rPr>
        <w:t xml:space="preserve">. </w:t>
      </w:r>
    </w:p>
    <w:p w:rsidR="009643A8" w:rsidRPr="009643A8" w:rsidRDefault="009643A8" w:rsidP="009643A8">
      <w:pPr>
        <w:spacing w:after="0"/>
        <w:jc w:val="both"/>
        <w:rPr>
          <w:rStyle w:val="Hyperlink0"/>
        </w:rPr>
      </w:pPr>
      <w:r>
        <w:rPr>
          <w:rStyle w:val="Hyperlink0"/>
        </w:rPr>
        <w:t>L</w:t>
      </w:r>
      <w:r w:rsidRPr="009643A8">
        <w:rPr>
          <w:rStyle w:val="Hyperlink0"/>
        </w:rPr>
        <w:t>e disposizioni previst</w:t>
      </w:r>
      <w:r>
        <w:rPr>
          <w:rStyle w:val="Hyperlink0"/>
        </w:rPr>
        <w:t xml:space="preserve">e dalla LR 1/2014 hanno trovato </w:t>
      </w:r>
      <w:r w:rsidRPr="009643A8">
        <w:rPr>
          <w:rStyle w:val="Hyperlink0"/>
        </w:rPr>
        <w:t>applicazione concreta mediante l’attuazione di Piani re</w:t>
      </w:r>
      <w:r>
        <w:rPr>
          <w:rStyle w:val="Hyperlink0"/>
        </w:rPr>
        <w:t xml:space="preserve">gionali annuali, contenenti una </w:t>
      </w:r>
      <w:r w:rsidRPr="009643A8">
        <w:rPr>
          <w:rStyle w:val="Hyperlink0"/>
        </w:rPr>
        <w:t>programmazione strutturata di attività: nel 2015 è stato approvato il Piano delle</w:t>
      </w:r>
    </w:p>
    <w:p w:rsidR="005E1FBB" w:rsidRPr="009F20CF" w:rsidRDefault="009643A8" w:rsidP="005E1FBB">
      <w:pPr>
        <w:spacing w:after="0"/>
        <w:jc w:val="both"/>
        <w:rPr>
          <w:rStyle w:val="Hyperlink0"/>
        </w:rPr>
      </w:pPr>
      <w:r w:rsidRPr="009643A8">
        <w:rPr>
          <w:rStyle w:val="Hyperlink0"/>
        </w:rPr>
        <w:t xml:space="preserve">attività 2015 (DGR 917/2015); nel 2016, al succitato </w:t>
      </w:r>
      <w:r w:rsidR="005E1FBB">
        <w:rPr>
          <w:rStyle w:val="Hyperlink0"/>
        </w:rPr>
        <w:t xml:space="preserve">Piano ha fatto seguito il Piano </w:t>
      </w:r>
      <w:r w:rsidRPr="009643A8">
        <w:rPr>
          <w:rStyle w:val="Hyperlink0"/>
        </w:rPr>
        <w:t>delle attività 2016 (DGR 528/2016); infine, grazie all’a</w:t>
      </w:r>
      <w:r w:rsidR="005E1FBB">
        <w:rPr>
          <w:rStyle w:val="Hyperlink0"/>
        </w:rPr>
        <w:t xml:space="preserve">pposito finanziamento stanziato </w:t>
      </w:r>
      <w:r w:rsidRPr="009643A8">
        <w:rPr>
          <w:rStyle w:val="Hyperlink0"/>
        </w:rPr>
        <w:t xml:space="preserve">dal Ministero della Salute, ai Piani precedenti ha fatto </w:t>
      </w:r>
      <w:r w:rsidR="005E1FBB">
        <w:rPr>
          <w:rStyle w:val="Hyperlink0"/>
        </w:rPr>
        <w:t xml:space="preserve">seguito il Piano operativo 2017 </w:t>
      </w:r>
      <w:r w:rsidRPr="009643A8">
        <w:rPr>
          <w:rStyle w:val="Hyperlink0"/>
        </w:rPr>
        <w:t>Gioco d’Azzardo patologico (approvato con DGR</w:t>
      </w:r>
      <w:r w:rsidR="005E1FBB">
        <w:rPr>
          <w:rStyle w:val="Hyperlink0"/>
        </w:rPr>
        <w:t xml:space="preserve"> 1332/2017 e confermato con DGR 1645/2018). Tali Piani </w:t>
      </w:r>
      <w:r w:rsidRPr="009643A8">
        <w:rPr>
          <w:rStyle w:val="Hyperlink0"/>
        </w:rPr>
        <w:t xml:space="preserve">hanno </w:t>
      </w:r>
      <w:r w:rsidR="005E1FBB" w:rsidRPr="009F20CF">
        <w:rPr>
          <w:rStyle w:val="Hyperlink0"/>
        </w:rPr>
        <w:t>disposto interventi innovativi atti a rafforzare e supportare la rete di cura e trattamento dei Servizi per le dipendenze, nonché azioni strategiche finalizzate a migliorare l’intercettazione delle</w:t>
      </w:r>
    </w:p>
    <w:p w:rsidR="005E1FBB" w:rsidRPr="009F20CF" w:rsidRDefault="005E1FBB" w:rsidP="009F20CF">
      <w:pPr>
        <w:spacing w:after="0"/>
        <w:jc w:val="both"/>
        <w:rPr>
          <w:rStyle w:val="Hyperlink0"/>
        </w:rPr>
      </w:pPr>
      <w:r w:rsidRPr="009F20CF">
        <w:rPr>
          <w:rStyle w:val="Hyperlink0"/>
        </w:rPr>
        <w:t>persone con disturbo da gioco d’azzardo e a favorire la diffusione capillare di una corretta informazione sul fenomeno.</w:t>
      </w:r>
      <w:r w:rsidR="009F20CF" w:rsidRPr="009F20CF">
        <w:rPr>
          <w:rStyle w:val="Hyperlink0"/>
        </w:rPr>
        <w:t xml:space="preserve"> </w:t>
      </w:r>
      <w:r w:rsidR="00C40DEF">
        <w:rPr>
          <w:rStyle w:val="Hyperlink0"/>
        </w:rPr>
        <w:t>S</w:t>
      </w:r>
      <w:r w:rsidR="00A81E92">
        <w:rPr>
          <w:rStyle w:val="Hyperlink0"/>
        </w:rPr>
        <w:t xml:space="preserve">i sono potute </w:t>
      </w:r>
      <w:r w:rsidR="008B4F61">
        <w:rPr>
          <w:rStyle w:val="Hyperlink0"/>
        </w:rPr>
        <w:t xml:space="preserve">inoltre </w:t>
      </w:r>
      <w:r w:rsidR="00904D1C">
        <w:rPr>
          <w:rStyle w:val="Hyperlink0"/>
        </w:rPr>
        <w:t xml:space="preserve">sviluppare iniziative e </w:t>
      </w:r>
      <w:r w:rsidR="00A81E92">
        <w:rPr>
          <w:rStyle w:val="Hyperlink0"/>
        </w:rPr>
        <w:t>progettazioni sul territorio, in particolare</w:t>
      </w:r>
      <w:r w:rsidR="00407F56">
        <w:rPr>
          <w:rStyle w:val="Hyperlink0"/>
        </w:rPr>
        <w:t xml:space="preserve"> nel 2017 </w:t>
      </w:r>
      <w:r w:rsidR="000E0F9E">
        <w:rPr>
          <w:rStyle w:val="Hyperlink0"/>
        </w:rPr>
        <w:t xml:space="preserve">sono </w:t>
      </w:r>
      <w:r w:rsidR="00407F56" w:rsidRPr="0025257A">
        <w:rPr>
          <w:rStyle w:val="Hyperlink0"/>
        </w:rPr>
        <w:t>stati banditi 100.000 euro a favore dei Comuni per incentivare progettazioni volte a far dismettere le apparecchiature per il gioco lecito</w:t>
      </w:r>
      <w:r w:rsidR="000E6125">
        <w:rPr>
          <w:rStyle w:val="Hyperlink0"/>
        </w:rPr>
        <w:t xml:space="preserve">. Nella provincia di Pordenone è risultato vincitore il progetto “Fuori Gioco”, presentato dall’UTI delle Valli e delle Dolomiti friulane. </w:t>
      </w:r>
      <w:r w:rsidR="00C106EC">
        <w:rPr>
          <w:rStyle w:val="Hyperlink0"/>
        </w:rPr>
        <w:t xml:space="preserve">Nell’ambito dello sviluppo di iniziative realizzate in co-progettazione con le Aziende sanitarie, la cooperativa “Piccolo Principe” </w:t>
      </w:r>
      <w:r w:rsidR="00024C33">
        <w:rPr>
          <w:rStyle w:val="Hyperlink0"/>
        </w:rPr>
        <w:t xml:space="preserve">ha promosso il progetto </w:t>
      </w:r>
      <w:r w:rsidR="00024C33" w:rsidRPr="00024C33">
        <w:rPr>
          <w:rStyle w:val="Hyperlink0"/>
        </w:rPr>
        <w:t>“C’è gioco e gioco!</w:t>
      </w:r>
      <w:r w:rsidR="00B204B6">
        <w:rPr>
          <w:rStyle w:val="Hyperlink0"/>
        </w:rPr>
        <w:t>”</w:t>
      </w:r>
      <w:r w:rsidR="00024C33" w:rsidRPr="00024C33">
        <w:rPr>
          <w:rStyle w:val="Hyperlink0"/>
        </w:rPr>
        <w:t>, tramite azioni di informazione e sensibilizzazione rivolte ad adulti e giovani, nonché azioni di prevenzione verso i più giovani</w:t>
      </w:r>
      <w:r w:rsidR="00B204B6">
        <w:rPr>
          <w:rStyle w:val="Hyperlink0"/>
        </w:rPr>
        <w:t>.</w:t>
      </w:r>
      <w:r w:rsidR="00666E42">
        <w:rPr>
          <w:rStyle w:val="Hyperlink0"/>
        </w:rPr>
        <w:t xml:space="preserve"> </w:t>
      </w:r>
      <w:r w:rsidR="009F20CF">
        <w:rPr>
          <w:rStyle w:val="Hyperlink0"/>
        </w:rPr>
        <w:t>L</w:t>
      </w:r>
      <w:r w:rsidR="009F20CF" w:rsidRPr="009F20CF">
        <w:rPr>
          <w:rStyle w:val="Hyperlink0"/>
        </w:rPr>
        <w:t>a programmazione regionale ha inte</w:t>
      </w:r>
      <w:r w:rsidR="009F20CF">
        <w:rPr>
          <w:rStyle w:val="Hyperlink0"/>
        </w:rPr>
        <w:t xml:space="preserve">so rafforzare gli interventi di </w:t>
      </w:r>
      <w:r w:rsidR="009F20CF" w:rsidRPr="009F20CF">
        <w:rPr>
          <w:rStyle w:val="Hyperlink0"/>
        </w:rPr>
        <w:t xml:space="preserve">contrasto al DGA, puntando </w:t>
      </w:r>
      <w:r w:rsidR="008914B7">
        <w:rPr>
          <w:rStyle w:val="Hyperlink0"/>
        </w:rPr>
        <w:t xml:space="preserve">anche </w:t>
      </w:r>
      <w:r w:rsidR="009F20CF" w:rsidRPr="009F20CF">
        <w:rPr>
          <w:rStyle w:val="Hyperlink0"/>
        </w:rPr>
        <w:t>sulla ricerca in collaborazio</w:t>
      </w:r>
      <w:r w:rsidR="009F20CF">
        <w:rPr>
          <w:rStyle w:val="Hyperlink0"/>
        </w:rPr>
        <w:t xml:space="preserve">ne con Università e Istituti di </w:t>
      </w:r>
      <w:r w:rsidR="009F20CF" w:rsidRPr="009F20CF">
        <w:rPr>
          <w:rStyle w:val="Hyperlink0"/>
        </w:rPr>
        <w:t>ricerca, nonché sulla cos</w:t>
      </w:r>
      <w:r w:rsidR="00D55972">
        <w:rPr>
          <w:rStyle w:val="Hyperlink0"/>
        </w:rPr>
        <w:t>truzione di percorsi formativi</w:t>
      </w:r>
      <w:r w:rsidR="009F20CF">
        <w:rPr>
          <w:rStyle w:val="Hyperlink0"/>
        </w:rPr>
        <w:t xml:space="preserve">, al fine </w:t>
      </w:r>
      <w:r w:rsidR="009F20CF" w:rsidRPr="009F20CF">
        <w:rPr>
          <w:rStyle w:val="Hyperlink0"/>
        </w:rPr>
        <w:t>di sviluppare comportamenti pro-sociali e d</w:t>
      </w:r>
      <w:r w:rsidR="009F20CF">
        <w:rPr>
          <w:rStyle w:val="Hyperlink0"/>
        </w:rPr>
        <w:t xml:space="preserve">i messa in rete di competenze e </w:t>
      </w:r>
      <w:r w:rsidR="009F20CF" w:rsidRPr="009F20CF">
        <w:rPr>
          <w:rStyle w:val="Hyperlink0"/>
        </w:rPr>
        <w:t>opportunità.</w:t>
      </w:r>
    </w:p>
    <w:p w:rsidR="00ED2035" w:rsidRPr="005B6E3A" w:rsidRDefault="00CC0109" w:rsidP="00094C8B">
      <w:pPr>
        <w:spacing w:after="100"/>
        <w:jc w:val="both"/>
        <w:rPr>
          <w:rFonts w:ascii="DecimaWE Rg" w:hAnsi="DecimaWE Rg"/>
        </w:rPr>
      </w:pPr>
      <w:r>
        <w:rPr>
          <w:rFonts w:ascii="DecimaWE Rg" w:hAnsi="DecimaWE Rg"/>
        </w:rPr>
        <w:t xml:space="preserve">Per quanto concerne la suddetta LR 1/2014, </w:t>
      </w:r>
      <w:r w:rsidRPr="00CC0109">
        <w:rPr>
          <w:rFonts w:ascii="DecimaWE Rg" w:hAnsi="DecimaWE Rg"/>
        </w:rPr>
        <w:t xml:space="preserve">nel </w:t>
      </w:r>
      <w:r w:rsidR="00126F79">
        <w:rPr>
          <w:rFonts w:ascii="DecimaWE Rg" w:hAnsi="DecimaWE Rg"/>
        </w:rPr>
        <w:t xml:space="preserve">2018 </w:t>
      </w:r>
      <w:r w:rsidRPr="00CC0109">
        <w:rPr>
          <w:rFonts w:ascii="DecimaWE Rg" w:hAnsi="DecimaWE Rg"/>
        </w:rPr>
        <w:t>al fine di valutar</w:t>
      </w:r>
      <w:r w:rsidR="00126F79">
        <w:rPr>
          <w:rFonts w:ascii="DecimaWE Rg" w:hAnsi="DecimaWE Rg"/>
        </w:rPr>
        <w:t>n</w:t>
      </w:r>
      <w:r w:rsidRPr="00CC0109">
        <w:rPr>
          <w:rFonts w:ascii="DecimaWE Rg" w:hAnsi="DecimaWE Rg"/>
        </w:rPr>
        <w:t xml:space="preserve">e l’effettiva applicazione, la Direzione centrale salute, integrazione socio sanitaria, politiche sociali e famiglia ha chiesto ai Comuni, mediante PEC </w:t>
      </w:r>
      <w:proofErr w:type="spellStart"/>
      <w:r w:rsidRPr="00CC0109">
        <w:rPr>
          <w:rFonts w:ascii="DecimaWE Rg" w:hAnsi="DecimaWE Rg"/>
        </w:rPr>
        <w:t>prot</w:t>
      </w:r>
      <w:proofErr w:type="spellEnd"/>
      <w:r w:rsidRPr="00CC0109">
        <w:rPr>
          <w:rFonts w:ascii="DecimaWE Rg" w:hAnsi="DecimaWE Rg"/>
        </w:rPr>
        <w:t>. n. 710/P del 15/01/2018, informazione circa lo stato di avanzamento dell’applicazione delle prescrizioni della LR 1/2014 relativamente alle competenze riservate ai Comuni (art. 6, commi 10, 12, 18, 19, 20).</w:t>
      </w:r>
      <w:r w:rsidR="00EE0EEC">
        <w:rPr>
          <w:rFonts w:ascii="DecimaWE Rg" w:hAnsi="DecimaWE Rg"/>
        </w:rPr>
        <w:t xml:space="preserve"> I </w:t>
      </w:r>
      <w:r w:rsidR="00EE0EEC" w:rsidRPr="00A45515">
        <w:rPr>
          <w:rFonts w:ascii="DecimaWE Rg" w:hAnsi="DecimaWE Rg"/>
          <w:b/>
        </w:rPr>
        <w:t>Comuni rispondenti</w:t>
      </w:r>
      <w:r w:rsidR="00EE0EEC">
        <w:rPr>
          <w:rFonts w:ascii="DecimaWE Rg" w:hAnsi="DecimaWE Rg"/>
        </w:rPr>
        <w:t xml:space="preserve"> </w:t>
      </w:r>
      <w:r w:rsidR="001C68F3" w:rsidRPr="00A45515">
        <w:rPr>
          <w:rFonts w:ascii="DecimaWE Rg" w:hAnsi="DecimaWE Rg"/>
          <w:b/>
        </w:rPr>
        <w:t>della provincia di Pordenone sono stati</w:t>
      </w:r>
      <w:r w:rsidR="001C68F3">
        <w:rPr>
          <w:rFonts w:ascii="DecimaWE Rg" w:hAnsi="DecimaWE Rg"/>
        </w:rPr>
        <w:t xml:space="preserve"> </w:t>
      </w:r>
      <w:r w:rsidR="001C68F3" w:rsidRPr="000A1210">
        <w:rPr>
          <w:rFonts w:ascii="DecimaWE Rg" w:hAnsi="DecimaWE Rg"/>
          <w:b/>
        </w:rPr>
        <w:t>8</w:t>
      </w:r>
      <w:r w:rsidR="001C68F3">
        <w:rPr>
          <w:rFonts w:ascii="DecimaWE Rg" w:hAnsi="DecimaWE Rg"/>
        </w:rPr>
        <w:t xml:space="preserve">. </w:t>
      </w:r>
      <w:r w:rsidR="001C68F3" w:rsidRPr="001C68F3">
        <w:rPr>
          <w:rFonts w:ascii="DecimaWE Rg" w:hAnsi="DecimaWE Rg"/>
        </w:rPr>
        <w:t>Unendo le informazioni dei Comuni rispondenti via PEC alla Direzione salute alle informazioni ottenute direttamente dai siti istitu</w:t>
      </w:r>
      <w:r w:rsidR="00F4136F">
        <w:rPr>
          <w:rFonts w:ascii="DecimaWE Rg" w:hAnsi="DecimaWE Rg"/>
        </w:rPr>
        <w:t xml:space="preserve">zionali dei Comuni è emerso che </w:t>
      </w:r>
      <w:r w:rsidR="00CE1EDC">
        <w:rPr>
          <w:rFonts w:ascii="DecimaWE Rg" w:hAnsi="DecimaWE Rg"/>
        </w:rPr>
        <w:t>nella provincia di Pordenone</w:t>
      </w:r>
      <w:r w:rsidR="000A1210">
        <w:rPr>
          <w:rFonts w:ascii="DecimaWE Rg" w:hAnsi="DecimaWE Rg"/>
        </w:rPr>
        <w:t>,</w:t>
      </w:r>
      <w:r w:rsidR="009D24D2">
        <w:rPr>
          <w:rFonts w:ascii="DecimaWE Rg" w:hAnsi="DecimaWE Rg"/>
        </w:rPr>
        <w:t xml:space="preserve"> </w:t>
      </w:r>
      <w:r w:rsidR="009D24D2" w:rsidRPr="00A45515">
        <w:rPr>
          <w:rFonts w:ascii="DecimaWE Rg" w:hAnsi="DecimaWE Rg"/>
          <w:b/>
        </w:rPr>
        <w:t>su 50 Comuni</w:t>
      </w:r>
      <w:r w:rsidR="009D24D2">
        <w:rPr>
          <w:rFonts w:ascii="DecimaWE Rg" w:hAnsi="DecimaWE Rg"/>
        </w:rPr>
        <w:t>,</w:t>
      </w:r>
      <w:r w:rsidR="00CE1EDC">
        <w:rPr>
          <w:rFonts w:ascii="DecimaWE Rg" w:hAnsi="DecimaWE Rg"/>
        </w:rPr>
        <w:t xml:space="preserve"> </w:t>
      </w:r>
      <w:r w:rsidR="00CE1EDC" w:rsidRPr="00C9094C">
        <w:rPr>
          <w:rFonts w:ascii="DecimaWE Rg" w:hAnsi="DecimaWE Rg"/>
          <w:b/>
        </w:rPr>
        <w:t xml:space="preserve">13 </w:t>
      </w:r>
      <w:r w:rsidR="00CE1EDC" w:rsidRPr="00CE1EDC">
        <w:rPr>
          <w:rFonts w:ascii="DecimaWE Rg" w:hAnsi="DecimaWE Rg"/>
        </w:rPr>
        <w:t xml:space="preserve">hanno attuato una </w:t>
      </w:r>
      <w:r w:rsidR="00CE1EDC" w:rsidRPr="00C9094C">
        <w:rPr>
          <w:rFonts w:ascii="DecimaWE Rg" w:hAnsi="DecimaWE Rg"/>
          <w:b/>
        </w:rPr>
        <w:t>prescrizione degli orari</w:t>
      </w:r>
      <w:r w:rsidR="00CE1EDC" w:rsidRPr="00CE1EDC">
        <w:rPr>
          <w:rFonts w:ascii="DecimaWE Rg" w:hAnsi="DecimaWE Rg"/>
        </w:rPr>
        <w:t xml:space="preserve"> di apertura delle sale da gioco e del funzionamento delle apparecchiature per il gioco lecito</w:t>
      </w:r>
      <w:r w:rsidR="009D24D2">
        <w:rPr>
          <w:rFonts w:ascii="DecimaWE Rg" w:hAnsi="DecimaWE Rg"/>
        </w:rPr>
        <w:t xml:space="preserve"> e </w:t>
      </w:r>
      <w:r w:rsidR="009D24D2" w:rsidRPr="009D24D2">
        <w:rPr>
          <w:rFonts w:ascii="DecimaWE Rg" w:hAnsi="DecimaWE Rg"/>
          <w:b/>
        </w:rPr>
        <w:t>8</w:t>
      </w:r>
      <w:r w:rsidR="009D24D2">
        <w:rPr>
          <w:rFonts w:ascii="DecimaWE Rg" w:hAnsi="DecimaWE Rg"/>
        </w:rPr>
        <w:t xml:space="preserve"> </w:t>
      </w:r>
      <w:r w:rsidR="005A6F5E" w:rsidRPr="005A6F5E">
        <w:rPr>
          <w:rFonts w:ascii="DecimaWE Rg" w:hAnsi="DecimaWE Rg"/>
        </w:rPr>
        <w:t xml:space="preserve">hanno predisposto un </w:t>
      </w:r>
      <w:r w:rsidR="005A6F5E" w:rsidRPr="009D24D2">
        <w:rPr>
          <w:rFonts w:ascii="DecimaWE Rg" w:hAnsi="DecimaWE Rg"/>
          <w:b/>
        </w:rPr>
        <w:t xml:space="preserve">elenco dei luoghi sensibili </w:t>
      </w:r>
      <w:r w:rsidR="009D24D2" w:rsidRPr="009D24D2">
        <w:rPr>
          <w:rFonts w:ascii="DecimaWE Rg" w:hAnsi="DecimaWE Rg"/>
          <w:b/>
        </w:rPr>
        <w:t>presenti sul proprio territorio</w:t>
      </w:r>
      <w:r w:rsidR="009D24D2">
        <w:rPr>
          <w:rFonts w:ascii="DecimaWE Rg" w:hAnsi="DecimaWE Rg"/>
        </w:rPr>
        <w:t xml:space="preserve">. </w:t>
      </w:r>
    </w:p>
    <w:p w:rsidR="006149FC" w:rsidRDefault="001F5B10" w:rsidP="0029328E">
      <w:pPr>
        <w:spacing w:after="100"/>
        <w:jc w:val="both"/>
        <w:rPr>
          <w:rFonts w:ascii="DecimaWE Rg" w:hAnsi="DecimaWE Rg"/>
        </w:rPr>
      </w:pPr>
      <w:r>
        <w:rPr>
          <w:rFonts w:ascii="DecimaWE Rg" w:hAnsi="DecimaWE Rg"/>
        </w:rPr>
        <w:t>A conclusione della presente relazione, si riportano alcuni riferimenti utili</w:t>
      </w:r>
      <w:r w:rsidR="00D06F2D">
        <w:rPr>
          <w:rFonts w:ascii="DecimaWE Rg" w:hAnsi="DecimaWE Rg"/>
        </w:rPr>
        <w:t>.</w:t>
      </w:r>
    </w:p>
    <w:p w:rsidR="00D06F2D" w:rsidRPr="00D06F2D" w:rsidRDefault="00540A09" w:rsidP="00BF3EB8">
      <w:pPr>
        <w:spacing w:after="0"/>
        <w:jc w:val="both"/>
        <w:rPr>
          <w:rFonts w:ascii="DecimaWE Rg" w:hAnsi="DecimaWE Rg"/>
          <w:b/>
        </w:rPr>
      </w:pPr>
      <w:r>
        <w:rPr>
          <w:rFonts w:ascii="DecimaWE Rg" w:hAnsi="DecimaWE Rg"/>
          <w:b/>
        </w:rPr>
        <w:t>Per il trattamento del DGA</w:t>
      </w:r>
    </w:p>
    <w:p w:rsidR="00D06F2D" w:rsidRDefault="00D06F2D" w:rsidP="00D06F2D">
      <w:pPr>
        <w:spacing w:after="0"/>
        <w:jc w:val="both"/>
        <w:rPr>
          <w:rFonts w:ascii="DecimaWE Rg" w:hAnsi="DecimaWE Rg"/>
        </w:rPr>
      </w:pPr>
      <w:r w:rsidRPr="00D06F2D">
        <w:rPr>
          <w:rFonts w:ascii="DecimaWE Rg" w:hAnsi="DecimaWE Rg"/>
        </w:rPr>
        <w:t>Azienda per l’assistenza sanitaria n.5 “Friuli Occidentale”</w:t>
      </w:r>
      <w:r>
        <w:rPr>
          <w:rFonts w:ascii="DecimaWE Rg" w:hAnsi="DecimaWE Rg"/>
        </w:rPr>
        <w:t xml:space="preserve"> - Dipartimento delle Dipendenze</w:t>
      </w:r>
    </w:p>
    <w:p w:rsidR="00395701" w:rsidRPr="00D06F2D" w:rsidRDefault="00395701" w:rsidP="00395701">
      <w:pPr>
        <w:spacing w:after="0"/>
        <w:jc w:val="both"/>
        <w:rPr>
          <w:rFonts w:ascii="DecimaWE Rg" w:hAnsi="DecimaWE Rg"/>
        </w:rPr>
      </w:pPr>
      <w:r w:rsidRPr="00D06F2D">
        <w:rPr>
          <w:rFonts w:ascii="DecimaWE Rg" w:hAnsi="DecimaWE Rg"/>
        </w:rPr>
        <w:t>Via Int</w:t>
      </w:r>
      <w:r>
        <w:rPr>
          <w:rFonts w:ascii="DecimaWE Rg" w:hAnsi="DecimaWE Rg"/>
        </w:rPr>
        <w:t>erna, 5/A, 33170 Pordenone (PN)</w:t>
      </w:r>
    </w:p>
    <w:p w:rsidR="00D06F2D" w:rsidRPr="00D06F2D" w:rsidRDefault="00D06F2D" w:rsidP="00D06F2D">
      <w:pPr>
        <w:spacing w:after="0"/>
        <w:jc w:val="both"/>
        <w:rPr>
          <w:rFonts w:ascii="DecimaWE Rg" w:hAnsi="DecimaWE Rg"/>
        </w:rPr>
      </w:pPr>
      <w:r w:rsidRPr="00D06F2D">
        <w:rPr>
          <w:rFonts w:ascii="DecimaWE Rg" w:hAnsi="DecimaWE Rg"/>
        </w:rPr>
        <w:t>Responsabile: Roberta Sabbion</w:t>
      </w:r>
    </w:p>
    <w:p w:rsidR="00F25138" w:rsidRPr="00395701" w:rsidRDefault="00D06F2D" w:rsidP="00F25138">
      <w:pPr>
        <w:spacing w:after="0"/>
        <w:jc w:val="both"/>
        <w:rPr>
          <w:rFonts w:ascii="DecimaWE Rg" w:hAnsi="DecimaWE Rg"/>
        </w:rPr>
      </w:pPr>
      <w:r w:rsidRPr="00177159">
        <w:rPr>
          <w:rFonts w:ascii="DecimaWE Rg" w:hAnsi="DecimaWE Rg"/>
        </w:rPr>
        <w:t xml:space="preserve">Mail: </w:t>
      </w:r>
      <w:hyperlink r:id="rId8" w:history="1">
        <w:r w:rsidRPr="00177159">
          <w:rPr>
            <w:rStyle w:val="Collegamentoipertestuale"/>
            <w:rFonts w:ascii="DecimaWE Rg" w:hAnsi="DecimaWE Rg"/>
          </w:rPr>
          <w:t>roberta.sabbion@aas5.sanita.fvg.it</w:t>
        </w:r>
      </w:hyperlink>
      <w:r w:rsidR="00F25138" w:rsidRPr="00F25138">
        <w:rPr>
          <w:rStyle w:val="Collegamentoipertestuale"/>
          <w:rFonts w:ascii="DecimaWE Rg" w:hAnsi="DecimaWE Rg"/>
        </w:rPr>
        <w:t xml:space="preserve"> </w:t>
      </w:r>
      <w:r w:rsidR="00F25138">
        <w:rPr>
          <w:rStyle w:val="Collegamentoipertestuale"/>
          <w:rFonts w:ascii="DecimaWE Rg" w:hAnsi="DecimaWE Rg"/>
        </w:rPr>
        <w:t xml:space="preserve">  </w:t>
      </w:r>
      <w:r w:rsidR="00F25138" w:rsidRPr="00D06F2D">
        <w:rPr>
          <w:rFonts w:ascii="DecimaWE Rg" w:hAnsi="DecimaWE Rg"/>
        </w:rPr>
        <w:t>Telefono: 0434 373111</w:t>
      </w:r>
    </w:p>
    <w:p w:rsidR="00D06F2D" w:rsidRPr="00D06F2D" w:rsidRDefault="00D06F2D" w:rsidP="00395701">
      <w:pPr>
        <w:spacing w:after="0"/>
        <w:jc w:val="both"/>
        <w:rPr>
          <w:rFonts w:ascii="DecimaWE Rg" w:hAnsi="DecimaWE Rg"/>
        </w:rPr>
      </w:pPr>
      <w:r w:rsidRPr="00D06F2D">
        <w:rPr>
          <w:rFonts w:ascii="DecimaWE Rg" w:hAnsi="DecimaWE Rg"/>
        </w:rPr>
        <w:t>Re</w:t>
      </w:r>
      <w:r w:rsidR="00395701">
        <w:rPr>
          <w:rFonts w:ascii="DecimaWE Rg" w:hAnsi="DecimaWE Rg"/>
        </w:rPr>
        <w:t xml:space="preserve">ferente: dott.ssa Carla </w:t>
      </w:r>
      <w:proofErr w:type="spellStart"/>
      <w:r w:rsidR="00395701">
        <w:rPr>
          <w:rFonts w:ascii="DecimaWE Rg" w:hAnsi="DecimaWE Rg"/>
        </w:rPr>
        <w:t>Bristot</w:t>
      </w:r>
      <w:proofErr w:type="spellEnd"/>
    </w:p>
    <w:p w:rsidR="00395701" w:rsidRPr="00F25138" w:rsidRDefault="00395701" w:rsidP="00094C8B">
      <w:pPr>
        <w:spacing w:after="100"/>
        <w:jc w:val="both"/>
        <w:rPr>
          <w:rFonts w:ascii="DecimaWE Rg" w:hAnsi="DecimaWE Rg"/>
        </w:rPr>
      </w:pPr>
      <w:r w:rsidRPr="00F25138">
        <w:rPr>
          <w:rFonts w:ascii="DecimaWE Rg" w:hAnsi="DecimaWE Rg"/>
        </w:rPr>
        <w:t>Mail</w:t>
      </w:r>
      <w:r w:rsidR="00D06F2D" w:rsidRPr="00F25138">
        <w:rPr>
          <w:rFonts w:ascii="DecimaWE Rg" w:hAnsi="DecimaWE Rg"/>
        </w:rPr>
        <w:t xml:space="preserve">: </w:t>
      </w:r>
      <w:hyperlink r:id="rId9" w:history="1">
        <w:r w:rsidR="00EC5FA2" w:rsidRPr="00F25138">
          <w:rPr>
            <w:rStyle w:val="Collegamentoipertestuale"/>
            <w:rFonts w:ascii="DecimaWE Rg" w:hAnsi="DecimaWE Rg"/>
          </w:rPr>
          <w:t>carla.bristot@aas5.sanita.fvg.it</w:t>
        </w:r>
      </w:hyperlink>
      <w:r w:rsidR="008F2B5C">
        <w:rPr>
          <w:rFonts w:ascii="DecimaWE Rg" w:hAnsi="DecimaWE Rg"/>
        </w:rPr>
        <w:t xml:space="preserve">  </w:t>
      </w:r>
      <w:r w:rsidR="00F25138" w:rsidRPr="00F25138">
        <w:rPr>
          <w:rFonts w:ascii="DecimaWE Rg" w:hAnsi="DecimaWE Rg"/>
        </w:rPr>
        <w:t xml:space="preserve">  </w:t>
      </w:r>
      <w:r w:rsidRPr="00D06F2D">
        <w:rPr>
          <w:rFonts w:ascii="DecimaWE Rg" w:hAnsi="DecimaWE Rg"/>
        </w:rPr>
        <w:t>Telefono: 0434 373111 – 0434 373121</w:t>
      </w:r>
    </w:p>
    <w:p w:rsidR="00D06F2D" w:rsidRDefault="002742B4" w:rsidP="002742B4">
      <w:pPr>
        <w:spacing w:after="0"/>
        <w:jc w:val="both"/>
        <w:rPr>
          <w:rFonts w:ascii="DecimaWE Rg" w:hAnsi="DecimaWE Rg"/>
          <w:b/>
        </w:rPr>
      </w:pPr>
      <w:r w:rsidRPr="002742B4">
        <w:rPr>
          <w:rFonts w:ascii="DecimaWE Rg" w:hAnsi="DecimaWE Rg"/>
          <w:b/>
        </w:rPr>
        <w:t>Per l’invio di quesiti relativi all’applicazione della LR 1/2014</w:t>
      </w:r>
      <w:r>
        <w:rPr>
          <w:rFonts w:ascii="DecimaWE Rg" w:hAnsi="DecimaWE Rg"/>
          <w:b/>
        </w:rPr>
        <w:t>:</w:t>
      </w:r>
    </w:p>
    <w:p w:rsidR="002742B4" w:rsidRPr="002742B4" w:rsidRDefault="002742B4" w:rsidP="00094C8B">
      <w:pPr>
        <w:spacing w:after="100"/>
        <w:jc w:val="both"/>
        <w:rPr>
          <w:rFonts w:ascii="DecimaWE Rg" w:hAnsi="DecimaWE Rg"/>
          <w:b/>
        </w:rPr>
      </w:pPr>
      <w:proofErr w:type="spellStart"/>
      <w:r w:rsidRPr="002742B4">
        <w:rPr>
          <w:rFonts w:ascii="DecimaWE Rg" w:hAnsi="DecimaWE Rg"/>
        </w:rPr>
        <w:t>Pec</w:t>
      </w:r>
      <w:proofErr w:type="spellEnd"/>
      <w:r>
        <w:rPr>
          <w:rFonts w:ascii="DecimaWE Rg" w:hAnsi="DecimaWE Rg"/>
        </w:rPr>
        <w:t>:</w:t>
      </w:r>
      <w:r>
        <w:rPr>
          <w:rFonts w:ascii="DecimaWE Rg" w:hAnsi="DecimaWE Rg"/>
          <w:b/>
        </w:rPr>
        <w:t xml:space="preserve"> </w:t>
      </w:r>
      <w:r w:rsidRPr="003B3806">
        <w:rPr>
          <w:rStyle w:val="Collegamentoipertestuale"/>
          <w:rFonts w:ascii="DecimaWE Rg" w:hAnsi="DecimaWE Rg"/>
        </w:rPr>
        <w:t>salute@certregione.fvg.it</w:t>
      </w:r>
    </w:p>
    <w:p w:rsidR="00D06F2D" w:rsidRPr="002742B4" w:rsidRDefault="002742B4" w:rsidP="002742B4">
      <w:pPr>
        <w:spacing w:after="0"/>
        <w:jc w:val="both"/>
        <w:rPr>
          <w:rFonts w:ascii="DecimaWE Rg" w:hAnsi="DecimaWE Rg"/>
          <w:b/>
        </w:rPr>
      </w:pPr>
      <w:r w:rsidRPr="002742B4">
        <w:rPr>
          <w:rFonts w:ascii="DecimaWE Rg" w:hAnsi="DecimaWE Rg"/>
          <w:b/>
        </w:rPr>
        <w:t>Per ulteriori riferimenti e approfondimenti sul gioco d’azzardo</w:t>
      </w:r>
      <w:r>
        <w:rPr>
          <w:rFonts w:ascii="DecimaWE Rg" w:hAnsi="DecimaWE Rg"/>
          <w:b/>
        </w:rPr>
        <w:t xml:space="preserve">: </w:t>
      </w:r>
    </w:p>
    <w:p w:rsidR="00E758EB" w:rsidRPr="00F408A2" w:rsidRDefault="002742B4" w:rsidP="00F243C4">
      <w:pPr>
        <w:spacing w:after="0"/>
        <w:jc w:val="both"/>
        <w:rPr>
          <w:rFonts w:ascii="DecimaWE Rg" w:hAnsi="DecimaWE Rg"/>
        </w:rPr>
      </w:pPr>
      <w:r>
        <w:rPr>
          <w:rFonts w:ascii="DecimaWE Rg" w:hAnsi="DecimaWE Rg"/>
        </w:rPr>
        <w:t>Sito: http://www.dipendenzefvg.it</w:t>
      </w:r>
    </w:p>
    <w:sectPr w:rsidR="00E758EB" w:rsidRPr="00F408A2" w:rsidSect="00331DDF">
      <w:pgSz w:w="11906" w:h="16838"/>
      <w:pgMar w:top="567"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3AB" w:rsidRDefault="00B563AB" w:rsidP="00C85BE8">
      <w:pPr>
        <w:spacing w:after="0" w:line="240" w:lineRule="auto"/>
      </w:pPr>
      <w:r>
        <w:separator/>
      </w:r>
    </w:p>
  </w:endnote>
  <w:endnote w:type="continuationSeparator" w:id="0">
    <w:p w:rsidR="00B563AB" w:rsidRDefault="00B563AB" w:rsidP="00C8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cimaWE Rg">
    <w:panose1 w:val="02000000000000000000"/>
    <w:charset w:val="00"/>
    <w:family w:val="auto"/>
    <w:pitch w:val="variable"/>
    <w:sig w:usb0="800000AF" w:usb1="5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DecimaWE">
    <w:altName w:val="Decima W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3AB" w:rsidRDefault="00B563AB" w:rsidP="00C85BE8">
      <w:pPr>
        <w:spacing w:after="0" w:line="240" w:lineRule="auto"/>
      </w:pPr>
      <w:r>
        <w:separator/>
      </w:r>
    </w:p>
  </w:footnote>
  <w:footnote w:type="continuationSeparator" w:id="0">
    <w:p w:rsidR="00B563AB" w:rsidRDefault="00B563AB" w:rsidP="00C85BE8">
      <w:pPr>
        <w:spacing w:after="0" w:line="240" w:lineRule="auto"/>
      </w:pPr>
      <w:r>
        <w:continuationSeparator/>
      </w:r>
    </w:p>
  </w:footnote>
  <w:footnote w:id="1">
    <w:p w:rsidR="00107D27" w:rsidRDefault="00107D27" w:rsidP="00107D27">
      <w:pPr>
        <w:pStyle w:val="Testonotaapidipagina"/>
        <w:jc w:val="both"/>
      </w:pPr>
      <w:r>
        <w:rPr>
          <w:rStyle w:val="Rimandonotaapidipagina"/>
        </w:rPr>
        <w:footnoteRef/>
      </w:r>
      <w:r>
        <w:t xml:space="preserve"> </w:t>
      </w:r>
      <w:r w:rsidRPr="00D10CEC">
        <w:rPr>
          <w:rFonts w:ascii="DecimaWE Rg" w:hAnsi="DecimaWE Rg"/>
          <w:sz w:val="18"/>
          <w:szCs w:val="18"/>
        </w:rPr>
        <w:t>Nello specifico, il concetto di costo sociale, ampiamente utilizzato nella letteratura economica applicata alle dipendenze da sostanze e comportamentali, anche se spesso in maniera ampia, vaga e onnicomprensiva, si riferisce a una perdita complessiva di benessere sociale attribuibile a determinate scelte, azioni e comportamenti.</w:t>
      </w:r>
    </w:p>
  </w:footnote>
  <w:footnote w:id="2">
    <w:p w:rsidR="00107D27" w:rsidRDefault="00107D27" w:rsidP="00107D27">
      <w:pPr>
        <w:pStyle w:val="Testonotaapidipagina"/>
      </w:pPr>
      <w:r>
        <w:rPr>
          <w:rStyle w:val="Rimandonotaapidipagina"/>
        </w:rPr>
        <w:footnoteRef/>
      </w:r>
      <w:r>
        <w:t xml:space="preserve"> </w:t>
      </w:r>
      <w:r w:rsidRPr="004551E2">
        <w:rPr>
          <w:rFonts w:ascii="DecimaWE Rg" w:hAnsi="DecimaWE Rg"/>
          <w:sz w:val="18"/>
          <w:szCs w:val="18"/>
        </w:rPr>
        <w:t xml:space="preserve">Federazione italiana degli operatori dei Servizi delle dipendenze. </w:t>
      </w:r>
    </w:p>
  </w:footnote>
  <w:footnote w:id="3">
    <w:p w:rsidR="00107D27" w:rsidRDefault="00107D27" w:rsidP="00107D27">
      <w:pPr>
        <w:pStyle w:val="Testonotaapidipagina"/>
      </w:pPr>
      <w:r>
        <w:rPr>
          <w:rStyle w:val="Rimandonotaapidipagina"/>
        </w:rPr>
        <w:footnoteRef/>
      </w:r>
      <w:r>
        <w:t xml:space="preserve"> </w:t>
      </w:r>
      <w:r w:rsidRPr="004551E2">
        <w:rPr>
          <w:rFonts w:ascii="DecimaWE Rg" w:hAnsi="DecimaWE Rg"/>
          <w:sz w:val="18"/>
          <w:szCs w:val="18"/>
        </w:rPr>
        <w:t xml:space="preserve">Centro Studi e Ricerche Consumi e Dipendenze. </w:t>
      </w:r>
    </w:p>
  </w:footnote>
  <w:footnote w:id="4">
    <w:p w:rsidR="00C85BE8" w:rsidRPr="00833E1B" w:rsidRDefault="00C85BE8" w:rsidP="00C85BE8">
      <w:pPr>
        <w:pStyle w:val="Testonotaapidipagina"/>
        <w:jc w:val="both"/>
        <w:rPr>
          <w:rFonts w:ascii="DecimaWE Rg" w:hAnsi="DecimaWE Rg"/>
          <w:sz w:val="18"/>
          <w:szCs w:val="18"/>
        </w:rPr>
      </w:pPr>
      <w:r w:rsidRPr="00833E1B">
        <w:rPr>
          <w:rStyle w:val="Rimandonotaapidipagina"/>
          <w:rFonts w:ascii="DecimaWE Rg" w:hAnsi="DecimaWE Rg"/>
          <w:sz w:val="18"/>
          <w:szCs w:val="18"/>
        </w:rPr>
        <w:footnoteRef/>
      </w:r>
      <w:r w:rsidRPr="00833E1B">
        <w:rPr>
          <w:rFonts w:ascii="DecimaWE Rg" w:hAnsi="DecimaWE Rg"/>
          <w:sz w:val="18"/>
          <w:szCs w:val="18"/>
        </w:rPr>
        <w:t xml:space="preserve"> Il dato di vincita e di conseguenza la spesa sono soggetti a variazioni dovute a consolidamento dei dati forniti dai concessionari; il dato di raccolta e vincite per le </w:t>
      </w:r>
      <w:proofErr w:type="spellStart"/>
      <w:r w:rsidRPr="00833E1B">
        <w:rPr>
          <w:rFonts w:ascii="DecimaWE Rg" w:hAnsi="DecimaWE Rg"/>
          <w:sz w:val="18"/>
          <w:szCs w:val="18"/>
        </w:rPr>
        <w:t>Newslot</w:t>
      </w:r>
      <w:proofErr w:type="spellEnd"/>
      <w:r w:rsidRPr="00833E1B">
        <w:rPr>
          <w:rFonts w:ascii="DecimaWE Rg" w:hAnsi="DecimaWE Rg"/>
          <w:sz w:val="18"/>
          <w:szCs w:val="18"/>
        </w:rPr>
        <w:t xml:space="preserve"> e </w:t>
      </w:r>
      <w:proofErr w:type="spellStart"/>
      <w:r w:rsidRPr="00833E1B">
        <w:rPr>
          <w:rFonts w:ascii="DecimaWE Rg" w:hAnsi="DecimaWE Rg"/>
          <w:sz w:val="18"/>
          <w:szCs w:val="18"/>
        </w:rPr>
        <w:t>Vlt</w:t>
      </w:r>
      <w:proofErr w:type="spellEnd"/>
      <w:r w:rsidRPr="00833E1B">
        <w:rPr>
          <w:rFonts w:ascii="DecimaWE Rg" w:hAnsi="DecimaWE Rg"/>
          <w:sz w:val="18"/>
          <w:szCs w:val="18"/>
        </w:rPr>
        <w:t xml:space="preserve"> si riferiscono ai contatori inviati dai concessionari (dato differente dal dato di saldo); dal dato di raccolta degli apparecchi comma 7 è esclusa la parte degli elettrodomestici in quanto non ripartibili sul territorio.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8A2"/>
    <w:rsid w:val="00006AA9"/>
    <w:rsid w:val="00024C33"/>
    <w:rsid w:val="00057D18"/>
    <w:rsid w:val="00094C8B"/>
    <w:rsid w:val="00095425"/>
    <w:rsid w:val="000964BF"/>
    <w:rsid w:val="000A1210"/>
    <w:rsid w:val="000A22E0"/>
    <w:rsid w:val="000B64B4"/>
    <w:rsid w:val="000D745C"/>
    <w:rsid w:val="000E0F9E"/>
    <w:rsid w:val="000E6125"/>
    <w:rsid w:val="000E6945"/>
    <w:rsid w:val="00107D27"/>
    <w:rsid w:val="00111CC1"/>
    <w:rsid w:val="001177BD"/>
    <w:rsid w:val="00126F79"/>
    <w:rsid w:val="001455D2"/>
    <w:rsid w:val="00177159"/>
    <w:rsid w:val="001B716E"/>
    <w:rsid w:val="001C0B7B"/>
    <w:rsid w:val="001C68F3"/>
    <w:rsid w:val="001E398E"/>
    <w:rsid w:val="001F0FF4"/>
    <w:rsid w:val="001F5B10"/>
    <w:rsid w:val="00257903"/>
    <w:rsid w:val="002742B4"/>
    <w:rsid w:val="0029328E"/>
    <w:rsid w:val="002A1751"/>
    <w:rsid w:val="002B3DB8"/>
    <w:rsid w:val="00331DDF"/>
    <w:rsid w:val="00343CC0"/>
    <w:rsid w:val="00355210"/>
    <w:rsid w:val="00394A3A"/>
    <w:rsid w:val="00394D8A"/>
    <w:rsid w:val="00395701"/>
    <w:rsid w:val="003A4ED4"/>
    <w:rsid w:val="003B3806"/>
    <w:rsid w:val="003D1547"/>
    <w:rsid w:val="00407F56"/>
    <w:rsid w:val="00410377"/>
    <w:rsid w:val="00411A45"/>
    <w:rsid w:val="004551E2"/>
    <w:rsid w:val="004717FF"/>
    <w:rsid w:val="0049393C"/>
    <w:rsid w:val="00493EE6"/>
    <w:rsid w:val="004A6003"/>
    <w:rsid w:val="004D2156"/>
    <w:rsid w:val="004D5C2B"/>
    <w:rsid w:val="004D5C73"/>
    <w:rsid w:val="004E6084"/>
    <w:rsid w:val="005032A8"/>
    <w:rsid w:val="005252EF"/>
    <w:rsid w:val="00540A09"/>
    <w:rsid w:val="00544EC6"/>
    <w:rsid w:val="005A6F5E"/>
    <w:rsid w:val="005B6E3A"/>
    <w:rsid w:val="005B7C9E"/>
    <w:rsid w:val="005C2926"/>
    <w:rsid w:val="005C384D"/>
    <w:rsid w:val="005E1FBB"/>
    <w:rsid w:val="006149FC"/>
    <w:rsid w:val="0062015D"/>
    <w:rsid w:val="00651B85"/>
    <w:rsid w:val="00661D9A"/>
    <w:rsid w:val="00666E42"/>
    <w:rsid w:val="00672243"/>
    <w:rsid w:val="006A5F1D"/>
    <w:rsid w:val="006B6ECB"/>
    <w:rsid w:val="006C3E95"/>
    <w:rsid w:val="006F030D"/>
    <w:rsid w:val="006F6EBF"/>
    <w:rsid w:val="00714126"/>
    <w:rsid w:val="007272A8"/>
    <w:rsid w:val="00727D43"/>
    <w:rsid w:val="00750DFE"/>
    <w:rsid w:val="00755AA0"/>
    <w:rsid w:val="00756AEE"/>
    <w:rsid w:val="0076425C"/>
    <w:rsid w:val="0077522E"/>
    <w:rsid w:val="007867F2"/>
    <w:rsid w:val="00793B9D"/>
    <w:rsid w:val="007A1F99"/>
    <w:rsid w:val="007C77CB"/>
    <w:rsid w:val="007D1526"/>
    <w:rsid w:val="007E138C"/>
    <w:rsid w:val="007E5530"/>
    <w:rsid w:val="00804495"/>
    <w:rsid w:val="00810C9B"/>
    <w:rsid w:val="008471A8"/>
    <w:rsid w:val="008914B7"/>
    <w:rsid w:val="0089658D"/>
    <w:rsid w:val="008B4F61"/>
    <w:rsid w:val="008F2B5C"/>
    <w:rsid w:val="00904D1C"/>
    <w:rsid w:val="00905E21"/>
    <w:rsid w:val="009643A8"/>
    <w:rsid w:val="009864BA"/>
    <w:rsid w:val="009900C2"/>
    <w:rsid w:val="009A6884"/>
    <w:rsid w:val="009D24D2"/>
    <w:rsid w:val="009D5BF6"/>
    <w:rsid w:val="009F1023"/>
    <w:rsid w:val="009F20CF"/>
    <w:rsid w:val="00A03B30"/>
    <w:rsid w:val="00A16184"/>
    <w:rsid w:val="00A22464"/>
    <w:rsid w:val="00A371D8"/>
    <w:rsid w:val="00A45515"/>
    <w:rsid w:val="00A672AB"/>
    <w:rsid w:val="00A81E92"/>
    <w:rsid w:val="00AF3BE5"/>
    <w:rsid w:val="00B204B6"/>
    <w:rsid w:val="00B3197E"/>
    <w:rsid w:val="00B418F0"/>
    <w:rsid w:val="00B50704"/>
    <w:rsid w:val="00B563AB"/>
    <w:rsid w:val="00B57BFF"/>
    <w:rsid w:val="00B65FC4"/>
    <w:rsid w:val="00BE106D"/>
    <w:rsid w:val="00BF3EB8"/>
    <w:rsid w:val="00C106EC"/>
    <w:rsid w:val="00C40DEF"/>
    <w:rsid w:val="00C56B1F"/>
    <w:rsid w:val="00C60DCC"/>
    <w:rsid w:val="00C64A6F"/>
    <w:rsid w:val="00C65AA4"/>
    <w:rsid w:val="00C73046"/>
    <w:rsid w:val="00C85BE8"/>
    <w:rsid w:val="00C8615D"/>
    <w:rsid w:val="00C87279"/>
    <w:rsid w:val="00C9094C"/>
    <w:rsid w:val="00CC0109"/>
    <w:rsid w:val="00CC096F"/>
    <w:rsid w:val="00CD3EA4"/>
    <w:rsid w:val="00CE1EDC"/>
    <w:rsid w:val="00CF5B44"/>
    <w:rsid w:val="00D06F2D"/>
    <w:rsid w:val="00D10CEC"/>
    <w:rsid w:val="00D1561D"/>
    <w:rsid w:val="00D25911"/>
    <w:rsid w:val="00D53637"/>
    <w:rsid w:val="00D55972"/>
    <w:rsid w:val="00D65185"/>
    <w:rsid w:val="00D94E88"/>
    <w:rsid w:val="00DA5599"/>
    <w:rsid w:val="00DD0584"/>
    <w:rsid w:val="00DD296D"/>
    <w:rsid w:val="00DD2CA2"/>
    <w:rsid w:val="00DD61B3"/>
    <w:rsid w:val="00DE3652"/>
    <w:rsid w:val="00E04A85"/>
    <w:rsid w:val="00E30E1F"/>
    <w:rsid w:val="00E50E84"/>
    <w:rsid w:val="00E702F2"/>
    <w:rsid w:val="00E758EB"/>
    <w:rsid w:val="00E81E11"/>
    <w:rsid w:val="00E837FB"/>
    <w:rsid w:val="00E84D7D"/>
    <w:rsid w:val="00E92CF3"/>
    <w:rsid w:val="00E96013"/>
    <w:rsid w:val="00EA4425"/>
    <w:rsid w:val="00EB7A44"/>
    <w:rsid w:val="00EC105F"/>
    <w:rsid w:val="00EC5FA2"/>
    <w:rsid w:val="00ED2035"/>
    <w:rsid w:val="00EE0EEC"/>
    <w:rsid w:val="00EE3799"/>
    <w:rsid w:val="00EE71EB"/>
    <w:rsid w:val="00F0320E"/>
    <w:rsid w:val="00F20340"/>
    <w:rsid w:val="00F243C4"/>
    <w:rsid w:val="00F25138"/>
    <w:rsid w:val="00F408A2"/>
    <w:rsid w:val="00F4136F"/>
    <w:rsid w:val="00FC23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yperlink0">
    <w:name w:val="Hyperlink.0"/>
    <w:basedOn w:val="Carpredefinitoparagrafo"/>
    <w:rsid w:val="00EE3799"/>
    <w:rPr>
      <w:rFonts w:ascii="DecimaWE Rg" w:eastAsia="DecimaWE Rg" w:hAnsi="DecimaWE Rg" w:cs="DecimaWE Rg"/>
    </w:rPr>
  </w:style>
  <w:style w:type="character" w:customStyle="1" w:styleId="Nessuno">
    <w:name w:val="Nessuno"/>
    <w:rsid w:val="00C85BE8"/>
  </w:style>
  <w:style w:type="paragraph" w:styleId="Didascalia">
    <w:name w:val="caption"/>
    <w:next w:val="Normale"/>
    <w:link w:val="DidascaliaCarattere"/>
    <w:qFormat/>
    <w:rsid w:val="00C85BE8"/>
    <w:pPr>
      <w:pBdr>
        <w:top w:val="nil"/>
        <w:left w:val="nil"/>
        <w:bottom w:val="nil"/>
        <w:right w:val="nil"/>
        <w:between w:val="nil"/>
        <w:bar w:val="nil"/>
      </w:pBdr>
      <w:spacing w:line="240" w:lineRule="auto"/>
    </w:pPr>
    <w:rPr>
      <w:rFonts w:ascii="Calibri" w:eastAsia="Calibri" w:hAnsi="Calibri" w:cs="Calibri"/>
      <w:b/>
      <w:bCs/>
      <w:color w:val="4F81BD"/>
      <w:sz w:val="18"/>
      <w:szCs w:val="18"/>
      <w:u w:color="4F81BD"/>
      <w:bdr w:val="nil"/>
      <w:lang w:eastAsia="it-IT"/>
    </w:rPr>
  </w:style>
  <w:style w:type="paragraph" w:styleId="Testonotaapidipagina">
    <w:name w:val="footnote text"/>
    <w:basedOn w:val="Normale"/>
    <w:link w:val="TestonotaapidipaginaCarattere"/>
    <w:uiPriority w:val="99"/>
    <w:unhideWhenUsed/>
    <w:rsid w:val="00C85B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uiPriority w:val="99"/>
    <w:rsid w:val="00C85BE8"/>
    <w:rPr>
      <w:rFonts w:ascii="Calibri" w:eastAsia="Calibri" w:hAnsi="Calibri" w:cs="Calibri"/>
      <w:color w:val="000000"/>
      <w:sz w:val="20"/>
      <w:szCs w:val="20"/>
      <w:u w:color="000000"/>
      <w:bdr w:val="nil"/>
      <w:lang w:eastAsia="it-IT"/>
    </w:rPr>
  </w:style>
  <w:style w:type="character" w:styleId="Rimandonotaapidipagina">
    <w:name w:val="footnote reference"/>
    <w:basedOn w:val="Carpredefinitoparagrafo"/>
    <w:uiPriority w:val="99"/>
    <w:semiHidden/>
    <w:unhideWhenUsed/>
    <w:rsid w:val="00C85BE8"/>
    <w:rPr>
      <w:vertAlign w:val="superscript"/>
    </w:rPr>
  </w:style>
  <w:style w:type="character" w:customStyle="1" w:styleId="DidascaliaCarattere">
    <w:name w:val="Didascalia Carattere"/>
    <w:link w:val="Didascalia"/>
    <w:rsid w:val="00C85BE8"/>
    <w:rPr>
      <w:rFonts w:ascii="Calibri" w:eastAsia="Calibri" w:hAnsi="Calibri" w:cs="Calibri"/>
      <w:b/>
      <w:bCs/>
      <w:color w:val="4F81BD"/>
      <w:sz w:val="18"/>
      <w:szCs w:val="18"/>
      <w:u w:color="4F81BD"/>
      <w:bdr w:val="nil"/>
      <w:lang w:eastAsia="it-IT"/>
    </w:rPr>
  </w:style>
  <w:style w:type="character" w:styleId="Rimandocommento">
    <w:name w:val="annotation reference"/>
    <w:basedOn w:val="Carpredefinitoparagrafo"/>
    <w:uiPriority w:val="99"/>
    <w:semiHidden/>
    <w:unhideWhenUsed/>
    <w:rsid w:val="00A22464"/>
    <w:rPr>
      <w:sz w:val="16"/>
      <w:szCs w:val="16"/>
    </w:rPr>
  </w:style>
  <w:style w:type="paragraph" w:styleId="Testocommento">
    <w:name w:val="annotation text"/>
    <w:basedOn w:val="Normale"/>
    <w:link w:val="TestocommentoCarattere"/>
    <w:uiPriority w:val="99"/>
    <w:semiHidden/>
    <w:unhideWhenUsed/>
    <w:rsid w:val="00A2246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22464"/>
    <w:rPr>
      <w:sz w:val="20"/>
      <w:szCs w:val="20"/>
    </w:rPr>
  </w:style>
  <w:style w:type="paragraph" w:styleId="Soggettocommento">
    <w:name w:val="annotation subject"/>
    <w:basedOn w:val="Testocommento"/>
    <w:next w:val="Testocommento"/>
    <w:link w:val="SoggettocommentoCarattere"/>
    <w:uiPriority w:val="99"/>
    <w:semiHidden/>
    <w:unhideWhenUsed/>
    <w:rsid w:val="00A22464"/>
    <w:rPr>
      <w:b/>
      <w:bCs/>
    </w:rPr>
  </w:style>
  <w:style w:type="character" w:customStyle="1" w:styleId="SoggettocommentoCarattere">
    <w:name w:val="Soggetto commento Carattere"/>
    <w:basedOn w:val="TestocommentoCarattere"/>
    <w:link w:val="Soggettocommento"/>
    <w:uiPriority w:val="99"/>
    <w:semiHidden/>
    <w:rsid w:val="00A22464"/>
    <w:rPr>
      <w:b/>
      <w:bCs/>
      <w:sz w:val="20"/>
      <w:szCs w:val="20"/>
    </w:rPr>
  </w:style>
  <w:style w:type="paragraph" w:styleId="Testofumetto">
    <w:name w:val="Balloon Text"/>
    <w:basedOn w:val="Normale"/>
    <w:link w:val="TestofumettoCarattere"/>
    <w:uiPriority w:val="99"/>
    <w:semiHidden/>
    <w:unhideWhenUsed/>
    <w:rsid w:val="00A224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2464"/>
    <w:rPr>
      <w:rFonts w:ascii="Tahoma" w:hAnsi="Tahoma" w:cs="Tahoma"/>
      <w:sz w:val="16"/>
      <w:szCs w:val="16"/>
    </w:rPr>
  </w:style>
  <w:style w:type="character" w:styleId="Collegamentoipertestuale">
    <w:name w:val="Hyperlink"/>
    <w:basedOn w:val="Carpredefinitoparagrafo"/>
    <w:uiPriority w:val="99"/>
    <w:unhideWhenUsed/>
    <w:rsid w:val="00D06F2D"/>
    <w:rPr>
      <w:color w:val="0000FF" w:themeColor="hyperlink"/>
      <w:u w:val="single"/>
    </w:rPr>
  </w:style>
  <w:style w:type="paragraph" w:customStyle="1" w:styleId="Default">
    <w:name w:val="Default"/>
    <w:rsid w:val="001C0B7B"/>
    <w:pPr>
      <w:autoSpaceDE w:val="0"/>
      <w:autoSpaceDN w:val="0"/>
      <w:adjustRightInd w:val="0"/>
      <w:spacing w:after="0" w:line="240" w:lineRule="auto"/>
    </w:pPr>
    <w:rPr>
      <w:rFonts w:ascii="DecimaWE" w:hAnsi="DecimaWE" w:cs="DecimaW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yperlink0">
    <w:name w:val="Hyperlink.0"/>
    <w:basedOn w:val="Carpredefinitoparagrafo"/>
    <w:rsid w:val="00EE3799"/>
    <w:rPr>
      <w:rFonts w:ascii="DecimaWE Rg" w:eastAsia="DecimaWE Rg" w:hAnsi="DecimaWE Rg" w:cs="DecimaWE Rg"/>
    </w:rPr>
  </w:style>
  <w:style w:type="character" w:customStyle="1" w:styleId="Nessuno">
    <w:name w:val="Nessuno"/>
    <w:rsid w:val="00C85BE8"/>
  </w:style>
  <w:style w:type="paragraph" w:styleId="Didascalia">
    <w:name w:val="caption"/>
    <w:next w:val="Normale"/>
    <w:link w:val="DidascaliaCarattere"/>
    <w:qFormat/>
    <w:rsid w:val="00C85BE8"/>
    <w:pPr>
      <w:pBdr>
        <w:top w:val="nil"/>
        <w:left w:val="nil"/>
        <w:bottom w:val="nil"/>
        <w:right w:val="nil"/>
        <w:between w:val="nil"/>
        <w:bar w:val="nil"/>
      </w:pBdr>
      <w:spacing w:line="240" w:lineRule="auto"/>
    </w:pPr>
    <w:rPr>
      <w:rFonts w:ascii="Calibri" w:eastAsia="Calibri" w:hAnsi="Calibri" w:cs="Calibri"/>
      <w:b/>
      <w:bCs/>
      <w:color w:val="4F81BD"/>
      <w:sz w:val="18"/>
      <w:szCs w:val="18"/>
      <w:u w:color="4F81BD"/>
      <w:bdr w:val="nil"/>
      <w:lang w:eastAsia="it-IT"/>
    </w:rPr>
  </w:style>
  <w:style w:type="paragraph" w:styleId="Testonotaapidipagina">
    <w:name w:val="footnote text"/>
    <w:basedOn w:val="Normale"/>
    <w:link w:val="TestonotaapidipaginaCarattere"/>
    <w:uiPriority w:val="99"/>
    <w:unhideWhenUsed/>
    <w:rsid w:val="00C85BE8"/>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eastAsia="it-IT"/>
    </w:rPr>
  </w:style>
  <w:style w:type="character" w:customStyle="1" w:styleId="TestonotaapidipaginaCarattere">
    <w:name w:val="Testo nota a piè di pagina Carattere"/>
    <w:basedOn w:val="Carpredefinitoparagrafo"/>
    <w:link w:val="Testonotaapidipagina"/>
    <w:uiPriority w:val="99"/>
    <w:rsid w:val="00C85BE8"/>
    <w:rPr>
      <w:rFonts w:ascii="Calibri" w:eastAsia="Calibri" w:hAnsi="Calibri" w:cs="Calibri"/>
      <w:color w:val="000000"/>
      <w:sz w:val="20"/>
      <w:szCs w:val="20"/>
      <w:u w:color="000000"/>
      <w:bdr w:val="nil"/>
      <w:lang w:eastAsia="it-IT"/>
    </w:rPr>
  </w:style>
  <w:style w:type="character" w:styleId="Rimandonotaapidipagina">
    <w:name w:val="footnote reference"/>
    <w:basedOn w:val="Carpredefinitoparagrafo"/>
    <w:uiPriority w:val="99"/>
    <w:semiHidden/>
    <w:unhideWhenUsed/>
    <w:rsid w:val="00C85BE8"/>
    <w:rPr>
      <w:vertAlign w:val="superscript"/>
    </w:rPr>
  </w:style>
  <w:style w:type="character" w:customStyle="1" w:styleId="DidascaliaCarattere">
    <w:name w:val="Didascalia Carattere"/>
    <w:link w:val="Didascalia"/>
    <w:rsid w:val="00C85BE8"/>
    <w:rPr>
      <w:rFonts w:ascii="Calibri" w:eastAsia="Calibri" w:hAnsi="Calibri" w:cs="Calibri"/>
      <w:b/>
      <w:bCs/>
      <w:color w:val="4F81BD"/>
      <w:sz w:val="18"/>
      <w:szCs w:val="18"/>
      <w:u w:color="4F81BD"/>
      <w:bdr w:val="nil"/>
      <w:lang w:eastAsia="it-IT"/>
    </w:rPr>
  </w:style>
  <w:style w:type="character" w:styleId="Rimandocommento">
    <w:name w:val="annotation reference"/>
    <w:basedOn w:val="Carpredefinitoparagrafo"/>
    <w:uiPriority w:val="99"/>
    <w:semiHidden/>
    <w:unhideWhenUsed/>
    <w:rsid w:val="00A22464"/>
    <w:rPr>
      <w:sz w:val="16"/>
      <w:szCs w:val="16"/>
    </w:rPr>
  </w:style>
  <w:style w:type="paragraph" w:styleId="Testocommento">
    <w:name w:val="annotation text"/>
    <w:basedOn w:val="Normale"/>
    <w:link w:val="TestocommentoCarattere"/>
    <w:uiPriority w:val="99"/>
    <w:semiHidden/>
    <w:unhideWhenUsed/>
    <w:rsid w:val="00A2246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22464"/>
    <w:rPr>
      <w:sz w:val="20"/>
      <w:szCs w:val="20"/>
    </w:rPr>
  </w:style>
  <w:style w:type="paragraph" w:styleId="Soggettocommento">
    <w:name w:val="annotation subject"/>
    <w:basedOn w:val="Testocommento"/>
    <w:next w:val="Testocommento"/>
    <w:link w:val="SoggettocommentoCarattere"/>
    <w:uiPriority w:val="99"/>
    <w:semiHidden/>
    <w:unhideWhenUsed/>
    <w:rsid w:val="00A22464"/>
    <w:rPr>
      <w:b/>
      <w:bCs/>
    </w:rPr>
  </w:style>
  <w:style w:type="character" w:customStyle="1" w:styleId="SoggettocommentoCarattere">
    <w:name w:val="Soggetto commento Carattere"/>
    <w:basedOn w:val="TestocommentoCarattere"/>
    <w:link w:val="Soggettocommento"/>
    <w:uiPriority w:val="99"/>
    <w:semiHidden/>
    <w:rsid w:val="00A22464"/>
    <w:rPr>
      <w:b/>
      <w:bCs/>
      <w:sz w:val="20"/>
      <w:szCs w:val="20"/>
    </w:rPr>
  </w:style>
  <w:style w:type="paragraph" w:styleId="Testofumetto">
    <w:name w:val="Balloon Text"/>
    <w:basedOn w:val="Normale"/>
    <w:link w:val="TestofumettoCarattere"/>
    <w:uiPriority w:val="99"/>
    <w:semiHidden/>
    <w:unhideWhenUsed/>
    <w:rsid w:val="00A224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2464"/>
    <w:rPr>
      <w:rFonts w:ascii="Tahoma" w:hAnsi="Tahoma" w:cs="Tahoma"/>
      <w:sz w:val="16"/>
      <w:szCs w:val="16"/>
    </w:rPr>
  </w:style>
  <w:style w:type="character" w:styleId="Collegamentoipertestuale">
    <w:name w:val="Hyperlink"/>
    <w:basedOn w:val="Carpredefinitoparagrafo"/>
    <w:uiPriority w:val="99"/>
    <w:unhideWhenUsed/>
    <w:rsid w:val="00D06F2D"/>
    <w:rPr>
      <w:color w:val="0000FF" w:themeColor="hyperlink"/>
      <w:u w:val="single"/>
    </w:rPr>
  </w:style>
  <w:style w:type="paragraph" w:customStyle="1" w:styleId="Default">
    <w:name w:val="Default"/>
    <w:rsid w:val="001C0B7B"/>
    <w:pPr>
      <w:autoSpaceDE w:val="0"/>
      <w:autoSpaceDN w:val="0"/>
      <w:adjustRightInd w:val="0"/>
      <w:spacing w:after="0" w:line="240" w:lineRule="auto"/>
    </w:pPr>
    <w:rPr>
      <w:rFonts w:ascii="DecimaWE" w:hAnsi="DecimaWE" w:cs="DecimaW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abbion@aas5.sanita.fvg.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la.bristot@aas5.sanita.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9927-B376-4794-B152-BA200114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2</Pages>
  <Words>1375</Words>
  <Characters>7840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Zanin</dc:creator>
  <cp:lastModifiedBy>Francesca Vignola</cp:lastModifiedBy>
  <cp:revision>189</cp:revision>
  <cp:lastPrinted>2019-03-29T08:18:00Z</cp:lastPrinted>
  <dcterms:created xsi:type="dcterms:W3CDTF">2019-03-25T08:36:00Z</dcterms:created>
  <dcterms:modified xsi:type="dcterms:W3CDTF">2019-04-01T14:28:00Z</dcterms:modified>
</cp:coreProperties>
</file>